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4364"/>
        <w:gridCol w:w="2140"/>
      </w:tblGrid>
      <w:tr w:rsidR="00422CB2" w:rsidRPr="00C81255" w14:paraId="5D5F422C" w14:textId="77777777" w:rsidTr="002A5797">
        <w:trPr>
          <w:trHeight w:val="1554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D22556" w14:textId="77777777" w:rsidR="00422CB2" w:rsidRPr="00C81255" w:rsidRDefault="00422CB2" w:rsidP="002A5797">
            <w:pPr>
              <w:pStyle w:val="Hlavika"/>
            </w:pPr>
            <w:r w:rsidRPr="00C81255">
              <w:rPr>
                <w:noProof/>
                <w:lang w:eastAsia="sk-SK"/>
              </w:rPr>
              <w:drawing>
                <wp:inline distT="0" distB="0" distL="0" distR="0" wp14:anchorId="41EFDF31" wp14:editId="2A5231B8">
                  <wp:extent cx="1285875" cy="933450"/>
                  <wp:effectExtent l="0" t="0" r="9525" b="0"/>
                  <wp:docPr id="1" name="Obrázo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EF18E0" w14:textId="77777777" w:rsidR="00422CB2" w:rsidRPr="00C81255" w:rsidRDefault="00422CB2" w:rsidP="002A5797">
            <w:pPr>
              <w:pStyle w:val="Hlavika"/>
              <w:jc w:val="center"/>
              <w:rPr>
                <w:b/>
                <w:sz w:val="24"/>
              </w:rPr>
            </w:pPr>
            <w:r w:rsidRPr="00C81255">
              <w:rPr>
                <w:b/>
                <w:sz w:val="24"/>
              </w:rPr>
              <w:t>Univerzita Mateja Bela v Banskej Bystrici</w:t>
            </w:r>
          </w:p>
          <w:p w14:paraId="399A31E7" w14:textId="77777777" w:rsidR="00422CB2" w:rsidRPr="00C81255" w:rsidRDefault="00422CB2" w:rsidP="002A5797">
            <w:pPr>
              <w:pStyle w:val="Hlavika"/>
              <w:jc w:val="center"/>
              <w:rPr>
                <w:sz w:val="24"/>
              </w:rPr>
            </w:pPr>
            <w:r w:rsidRPr="00C81255">
              <w:rPr>
                <w:sz w:val="24"/>
              </w:rPr>
              <w:t>Právnická fakulta</w:t>
            </w:r>
          </w:p>
          <w:p w14:paraId="6B79444E" w14:textId="77777777" w:rsidR="00422CB2" w:rsidRPr="00C81255" w:rsidRDefault="00422CB2" w:rsidP="002A5797">
            <w:pPr>
              <w:pStyle w:val="Hlavika"/>
              <w:jc w:val="center"/>
              <w:rPr>
                <w:sz w:val="24"/>
              </w:rPr>
            </w:pPr>
            <w:r w:rsidRPr="00C81255">
              <w:rPr>
                <w:sz w:val="24"/>
              </w:rPr>
              <w:t>Komenského 20, 974 01 Banská Bystrica</w:t>
            </w:r>
          </w:p>
          <w:p w14:paraId="263E58ED" w14:textId="2ED80232" w:rsidR="00422CB2" w:rsidRPr="00C81255" w:rsidRDefault="00422CB2" w:rsidP="002A5797">
            <w:pPr>
              <w:pStyle w:val="Hlavika"/>
              <w:jc w:val="center"/>
              <w:rPr>
                <w:sz w:val="18"/>
                <w:szCs w:val="18"/>
              </w:rPr>
            </w:pPr>
            <w:r w:rsidRPr="00C81255">
              <w:rPr>
                <w:sz w:val="18"/>
                <w:szCs w:val="18"/>
              </w:rPr>
              <w:t xml:space="preserve">Katedra občianskeho </w:t>
            </w:r>
            <w:r w:rsidR="006A1CD6">
              <w:rPr>
                <w:sz w:val="18"/>
                <w:szCs w:val="18"/>
              </w:rPr>
              <w:t>a pracovného práva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E647DA" w14:textId="77777777" w:rsidR="00422CB2" w:rsidRPr="00C81255" w:rsidRDefault="00422CB2" w:rsidP="002A5797">
            <w:pPr>
              <w:pStyle w:val="Hlavika"/>
              <w:jc w:val="right"/>
            </w:pPr>
            <w:r w:rsidRPr="00C81255">
              <w:rPr>
                <w:noProof/>
                <w:lang w:eastAsia="sk-SK"/>
              </w:rPr>
              <w:drawing>
                <wp:inline distT="0" distB="0" distL="0" distR="0" wp14:anchorId="2E4A2E4C" wp14:editId="6EDED3E7">
                  <wp:extent cx="1010920" cy="933450"/>
                  <wp:effectExtent l="0" t="0" r="0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7A72DE" w14:textId="77777777" w:rsidR="003C266B" w:rsidRPr="00C81255" w:rsidRDefault="003C266B" w:rsidP="003C266B">
      <w:pPr>
        <w:spacing w:line="360" w:lineRule="auto"/>
        <w:jc w:val="center"/>
        <w:rPr>
          <w:b/>
          <w:bCs/>
          <w:sz w:val="10"/>
          <w:szCs w:val="10"/>
          <w:u w:val="single"/>
        </w:rPr>
      </w:pPr>
    </w:p>
    <w:p w14:paraId="3695832B" w14:textId="77777777" w:rsidR="003C266B" w:rsidRPr="00C81255" w:rsidRDefault="003C266B" w:rsidP="003C266B">
      <w:pPr>
        <w:spacing w:line="360" w:lineRule="auto"/>
        <w:jc w:val="center"/>
        <w:rPr>
          <w:b/>
          <w:bCs/>
          <w:sz w:val="10"/>
          <w:szCs w:val="10"/>
          <w:u w:val="single"/>
        </w:rPr>
      </w:pPr>
    </w:p>
    <w:p w14:paraId="47BCA1C8" w14:textId="7E75FAE5" w:rsidR="003C266B" w:rsidRPr="00C81255" w:rsidRDefault="00DF19D3" w:rsidP="003C266B">
      <w:pPr>
        <w:spacing w:line="360" w:lineRule="auto"/>
        <w:jc w:val="center"/>
        <w:rPr>
          <w:b/>
          <w:sz w:val="22"/>
          <w:szCs w:val="22"/>
        </w:rPr>
      </w:pPr>
      <w:r w:rsidRPr="00C81255">
        <w:rPr>
          <w:b/>
          <w:sz w:val="22"/>
          <w:szCs w:val="22"/>
        </w:rPr>
        <w:t>Oponentský posudok</w:t>
      </w:r>
    </w:p>
    <w:p w14:paraId="0F272D70" w14:textId="6D06DA1B" w:rsidR="00DF19D3" w:rsidRPr="00C81255" w:rsidRDefault="00DF19D3" w:rsidP="003C266B">
      <w:pPr>
        <w:spacing w:line="360" w:lineRule="auto"/>
        <w:jc w:val="center"/>
        <w:rPr>
          <w:b/>
          <w:sz w:val="22"/>
          <w:szCs w:val="22"/>
        </w:rPr>
      </w:pPr>
    </w:p>
    <w:p w14:paraId="1288789C" w14:textId="252AB92F" w:rsidR="00DF19D3" w:rsidRPr="00C81255" w:rsidRDefault="00DF19D3" w:rsidP="00DF19D3">
      <w:pPr>
        <w:spacing w:line="360" w:lineRule="auto"/>
        <w:jc w:val="center"/>
        <w:rPr>
          <w:bCs/>
          <w:sz w:val="22"/>
          <w:szCs w:val="22"/>
        </w:rPr>
      </w:pPr>
      <w:r w:rsidRPr="00C81255">
        <w:rPr>
          <w:bCs/>
          <w:sz w:val="22"/>
          <w:szCs w:val="22"/>
        </w:rPr>
        <w:t xml:space="preserve">na habilitačnú prácu JUDr. Mariana </w:t>
      </w:r>
      <w:proofErr w:type="spellStart"/>
      <w:r w:rsidRPr="00C81255">
        <w:rPr>
          <w:bCs/>
          <w:sz w:val="22"/>
          <w:szCs w:val="22"/>
        </w:rPr>
        <w:t>Ďuranu</w:t>
      </w:r>
      <w:proofErr w:type="spellEnd"/>
      <w:r w:rsidRPr="00C81255">
        <w:rPr>
          <w:bCs/>
          <w:sz w:val="22"/>
          <w:szCs w:val="22"/>
        </w:rPr>
        <w:t>, PhD. predloženú k habilitačnému konaniu na Univerzite Mateja Bela v Banskej Bystrici, Právnickej fakulte</w:t>
      </w:r>
      <w:r w:rsidR="006A1CD6">
        <w:rPr>
          <w:bCs/>
          <w:sz w:val="22"/>
          <w:szCs w:val="22"/>
        </w:rPr>
        <w:t xml:space="preserve"> v odbore občianske právo</w:t>
      </w:r>
      <w:r w:rsidRPr="00C81255">
        <w:rPr>
          <w:bCs/>
          <w:sz w:val="22"/>
          <w:szCs w:val="22"/>
        </w:rPr>
        <w:t>, vypracovanú na tému :</w:t>
      </w:r>
    </w:p>
    <w:p w14:paraId="4BA5CCC0" w14:textId="77777777" w:rsidR="00DA5908" w:rsidRPr="00C81255" w:rsidRDefault="00DA5908" w:rsidP="00DF19D3">
      <w:pPr>
        <w:spacing w:line="360" w:lineRule="auto"/>
        <w:jc w:val="center"/>
        <w:rPr>
          <w:bCs/>
          <w:sz w:val="22"/>
          <w:szCs w:val="22"/>
        </w:rPr>
      </w:pPr>
    </w:p>
    <w:p w14:paraId="3AEA3565" w14:textId="0F97F295" w:rsidR="00DF19D3" w:rsidRPr="00C81255" w:rsidRDefault="00DF19D3" w:rsidP="00DF19D3">
      <w:pPr>
        <w:spacing w:line="360" w:lineRule="auto"/>
        <w:jc w:val="center"/>
        <w:rPr>
          <w:b/>
          <w:sz w:val="22"/>
          <w:szCs w:val="22"/>
        </w:rPr>
      </w:pPr>
      <w:r w:rsidRPr="00C81255">
        <w:rPr>
          <w:b/>
          <w:sz w:val="22"/>
          <w:szCs w:val="22"/>
        </w:rPr>
        <w:t>„Živé zviera v súkromnom práve“.</w:t>
      </w:r>
    </w:p>
    <w:p w14:paraId="5342077C" w14:textId="77777777" w:rsidR="00DA5908" w:rsidRPr="00C81255" w:rsidRDefault="00DA5908" w:rsidP="00DF19D3">
      <w:pPr>
        <w:spacing w:line="360" w:lineRule="auto"/>
        <w:jc w:val="center"/>
        <w:rPr>
          <w:b/>
          <w:sz w:val="22"/>
          <w:szCs w:val="22"/>
        </w:rPr>
      </w:pPr>
    </w:p>
    <w:p w14:paraId="47C98846" w14:textId="1B36E407" w:rsidR="00D52836" w:rsidRPr="00C81255" w:rsidRDefault="006A1CD6" w:rsidP="00DA590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Menovacím dekrétom</w:t>
      </w:r>
      <w:r w:rsidR="00DA5908" w:rsidRPr="00C81255">
        <w:rPr>
          <w:sz w:val="24"/>
          <w:szCs w:val="24"/>
        </w:rPr>
        <w:t xml:space="preserve"> </w:t>
      </w:r>
      <w:r w:rsidRPr="00C81255">
        <w:rPr>
          <w:sz w:val="24"/>
          <w:szCs w:val="24"/>
        </w:rPr>
        <w:t xml:space="preserve">dekana Právnickej fakulty Univerzity Mateja Bela </w:t>
      </w:r>
      <w:r>
        <w:rPr>
          <w:sz w:val="24"/>
          <w:szCs w:val="24"/>
        </w:rPr>
        <w:t xml:space="preserve">v Banskej Bystrici </w:t>
      </w:r>
      <w:r w:rsidR="00DA5908" w:rsidRPr="00C81255">
        <w:rPr>
          <w:sz w:val="24"/>
          <w:szCs w:val="24"/>
        </w:rPr>
        <w:t xml:space="preserve">doc. Dr. </w:t>
      </w:r>
      <w:proofErr w:type="spellStart"/>
      <w:r w:rsidR="00DA5908" w:rsidRPr="00C81255">
        <w:rPr>
          <w:sz w:val="24"/>
          <w:szCs w:val="24"/>
        </w:rPr>
        <w:t>Iur</w:t>
      </w:r>
      <w:proofErr w:type="spellEnd"/>
      <w:r w:rsidR="00DA5908" w:rsidRPr="00C81255">
        <w:rPr>
          <w:sz w:val="24"/>
          <w:szCs w:val="24"/>
        </w:rPr>
        <w:t xml:space="preserve">. JUDr. Ing. Michala </w:t>
      </w:r>
      <w:proofErr w:type="spellStart"/>
      <w:r w:rsidR="00DA5908" w:rsidRPr="00C81255">
        <w:rPr>
          <w:sz w:val="24"/>
          <w:szCs w:val="24"/>
        </w:rPr>
        <w:t>Turošíka,PhD</w:t>
      </w:r>
      <w:proofErr w:type="spellEnd"/>
      <w:r w:rsidR="00DA5908" w:rsidRPr="00C81255">
        <w:rPr>
          <w:sz w:val="24"/>
          <w:szCs w:val="24"/>
        </w:rPr>
        <w:t xml:space="preserve">.  zo dňa 15.11.2021 </w:t>
      </w:r>
      <w:r w:rsidR="00D52836" w:rsidRPr="00C81255">
        <w:rPr>
          <w:sz w:val="24"/>
          <w:szCs w:val="24"/>
        </w:rPr>
        <w:t xml:space="preserve">na základe predchádzajúceho súhlasu </w:t>
      </w:r>
      <w:r w:rsidR="00DA5908" w:rsidRPr="00C81255">
        <w:rPr>
          <w:sz w:val="24"/>
          <w:szCs w:val="24"/>
        </w:rPr>
        <w:t xml:space="preserve">Vedeckej rady </w:t>
      </w:r>
      <w:r w:rsidR="004F2061">
        <w:rPr>
          <w:sz w:val="24"/>
          <w:szCs w:val="24"/>
        </w:rPr>
        <w:t xml:space="preserve">Právnickej fakulty Univerzity Mateja Bela v Banskej Bystrici zo dňa 09. 11. 2021, </w:t>
      </w:r>
      <w:r w:rsidR="00DA5908" w:rsidRPr="00C81255">
        <w:rPr>
          <w:sz w:val="24"/>
          <w:szCs w:val="24"/>
        </w:rPr>
        <w:t>som bola menovaná za oponent</w:t>
      </w:r>
      <w:r w:rsidR="004F2061">
        <w:rPr>
          <w:sz w:val="24"/>
          <w:szCs w:val="24"/>
        </w:rPr>
        <w:t>ku</w:t>
      </w:r>
      <w:r w:rsidR="00DA5908" w:rsidRPr="00C81255">
        <w:rPr>
          <w:sz w:val="24"/>
          <w:szCs w:val="24"/>
        </w:rPr>
        <w:t xml:space="preserve"> habilitačnej práce  JUDr. Mariána </w:t>
      </w:r>
      <w:proofErr w:type="spellStart"/>
      <w:r w:rsidR="00DA5908" w:rsidRPr="00C81255">
        <w:rPr>
          <w:sz w:val="24"/>
          <w:szCs w:val="24"/>
        </w:rPr>
        <w:t>Ďuranu</w:t>
      </w:r>
      <w:proofErr w:type="spellEnd"/>
      <w:r w:rsidR="00DA5908" w:rsidRPr="00C81255">
        <w:rPr>
          <w:sz w:val="24"/>
          <w:szCs w:val="24"/>
        </w:rPr>
        <w:t xml:space="preserve">, PhD. </w:t>
      </w:r>
    </w:p>
    <w:p w14:paraId="07DD6EB7" w14:textId="58CCF47A" w:rsidR="00D52836" w:rsidRPr="00C81255" w:rsidRDefault="00D52836" w:rsidP="00D52836">
      <w:pPr>
        <w:spacing w:line="360" w:lineRule="auto"/>
        <w:jc w:val="both"/>
        <w:rPr>
          <w:sz w:val="24"/>
          <w:szCs w:val="24"/>
        </w:rPr>
      </w:pPr>
    </w:p>
    <w:p w14:paraId="49CBDC7D" w14:textId="0A284A88" w:rsidR="00D52836" w:rsidRDefault="00D52836" w:rsidP="00D52836">
      <w:pPr>
        <w:spacing w:line="360" w:lineRule="auto"/>
        <w:jc w:val="both"/>
        <w:rPr>
          <w:sz w:val="24"/>
          <w:szCs w:val="24"/>
        </w:rPr>
      </w:pPr>
      <w:r w:rsidRPr="00C81255">
        <w:rPr>
          <w:sz w:val="24"/>
          <w:szCs w:val="24"/>
        </w:rPr>
        <w:t xml:space="preserve">K predloženej </w:t>
      </w:r>
      <w:r w:rsidR="006A1CD6" w:rsidRPr="00C81255">
        <w:rPr>
          <w:sz w:val="24"/>
          <w:szCs w:val="24"/>
        </w:rPr>
        <w:t>habilitačnej</w:t>
      </w:r>
      <w:r w:rsidRPr="00C81255">
        <w:rPr>
          <w:sz w:val="24"/>
          <w:szCs w:val="24"/>
        </w:rPr>
        <w:t xml:space="preserve"> práci podávam nasledovný posudok.</w:t>
      </w:r>
    </w:p>
    <w:p w14:paraId="46BFFDDA" w14:textId="77777777" w:rsidR="006A1CD6" w:rsidRPr="00C81255" w:rsidRDefault="006A1CD6" w:rsidP="00D52836">
      <w:pPr>
        <w:spacing w:line="360" w:lineRule="auto"/>
        <w:jc w:val="both"/>
        <w:rPr>
          <w:sz w:val="24"/>
          <w:szCs w:val="24"/>
        </w:rPr>
      </w:pPr>
    </w:p>
    <w:p w14:paraId="6EE27D2B" w14:textId="77777777" w:rsidR="00DA5908" w:rsidRPr="00C81255" w:rsidRDefault="00DA5908" w:rsidP="00DA5908">
      <w:pPr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C81255">
        <w:rPr>
          <w:b/>
          <w:color w:val="000000" w:themeColor="text1"/>
          <w:sz w:val="22"/>
          <w:szCs w:val="22"/>
        </w:rPr>
        <w:t>Aktuálnosť témy</w:t>
      </w:r>
    </w:p>
    <w:p w14:paraId="79FC355B" w14:textId="77777777" w:rsidR="004F2061" w:rsidRPr="00C81255" w:rsidRDefault="004F2061" w:rsidP="00DA5908">
      <w:pPr>
        <w:ind w:left="360"/>
        <w:jc w:val="both"/>
        <w:rPr>
          <w:b/>
          <w:color w:val="000000" w:themeColor="text1"/>
          <w:sz w:val="22"/>
          <w:szCs w:val="22"/>
        </w:rPr>
      </w:pPr>
    </w:p>
    <w:p w14:paraId="59F24961" w14:textId="1E75244C" w:rsidR="00F20B26" w:rsidRPr="00C81255" w:rsidRDefault="002A3DA2" w:rsidP="00F20B26">
      <w:pPr>
        <w:spacing w:line="360" w:lineRule="auto"/>
        <w:jc w:val="both"/>
        <w:rPr>
          <w:sz w:val="24"/>
          <w:szCs w:val="24"/>
        </w:rPr>
      </w:pPr>
      <w:r w:rsidRPr="00C81255">
        <w:rPr>
          <w:sz w:val="24"/>
          <w:szCs w:val="24"/>
        </w:rPr>
        <w:t xml:space="preserve">Zákonom č. 184/2018 </w:t>
      </w:r>
      <w:proofErr w:type="spellStart"/>
      <w:r w:rsidRPr="00C81255">
        <w:rPr>
          <w:sz w:val="24"/>
          <w:szCs w:val="24"/>
        </w:rPr>
        <w:t>Z.z</w:t>
      </w:r>
      <w:proofErr w:type="spellEnd"/>
      <w:r w:rsidRPr="00C81255">
        <w:rPr>
          <w:sz w:val="24"/>
          <w:szCs w:val="24"/>
        </w:rPr>
        <w:t>. bol</w:t>
      </w:r>
      <w:r w:rsidR="004F2061">
        <w:rPr>
          <w:sz w:val="24"/>
          <w:szCs w:val="24"/>
        </w:rPr>
        <w:t>o</w:t>
      </w:r>
      <w:r w:rsidRPr="00C81255">
        <w:rPr>
          <w:sz w:val="24"/>
          <w:szCs w:val="24"/>
        </w:rPr>
        <w:t xml:space="preserve"> okrem iného </w:t>
      </w:r>
      <w:r w:rsidR="006A1CD6" w:rsidRPr="00C81255">
        <w:rPr>
          <w:sz w:val="24"/>
          <w:szCs w:val="24"/>
        </w:rPr>
        <w:t>novelizované</w:t>
      </w:r>
      <w:r w:rsidRPr="00C81255">
        <w:rPr>
          <w:sz w:val="24"/>
          <w:szCs w:val="24"/>
        </w:rPr>
        <w:t xml:space="preserve"> znenie ustanovení § 118 a 119 Občianskeho zákonníka. Zmena priniesla vytvorenie samostatnej kategórie sekundárneho predmetu občianskoprávnych vzťahov, a to živého zvieraťa so samostatným právnym postavením. Do uvedeného momentu bolo živé zviera zaraďované do kategórie vecí. Sám autor</w:t>
      </w:r>
      <w:r w:rsidR="00AE4570" w:rsidRPr="00C81255">
        <w:rPr>
          <w:sz w:val="24"/>
          <w:szCs w:val="24"/>
        </w:rPr>
        <w:t xml:space="preserve"> napr. na str. 7 práce </w:t>
      </w:r>
      <w:r w:rsidRPr="00C81255">
        <w:rPr>
          <w:sz w:val="24"/>
          <w:szCs w:val="24"/>
        </w:rPr>
        <w:t xml:space="preserve">v tejto súvislosti poznamenáva, že </w:t>
      </w:r>
      <w:r w:rsidR="00AE4570" w:rsidRPr="00C81255">
        <w:rPr>
          <w:sz w:val="24"/>
          <w:szCs w:val="24"/>
        </w:rPr>
        <w:t xml:space="preserve">účinnosťou uvedeného zákona sa Slovenská republika </w:t>
      </w:r>
      <w:r w:rsidR="004F2061">
        <w:rPr>
          <w:sz w:val="24"/>
          <w:szCs w:val="24"/>
        </w:rPr>
        <w:t xml:space="preserve">zaradila </w:t>
      </w:r>
      <w:r w:rsidR="00AE4570" w:rsidRPr="00C81255">
        <w:rPr>
          <w:sz w:val="24"/>
          <w:szCs w:val="24"/>
        </w:rPr>
        <w:t xml:space="preserve">do kategórie štátov, u ktorých došlo k tzv. procesu </w:t>
      </w:r>
      <w:proofErr w:type="spellStart"/>
      <w:r w:rsidR="00AE4570" w:rsidRPr="00C81255">
        <w:rPr>
          <w:sz w:val="24"/>
          <w:szCs w:val="24"/>
        </w:rPr>
        <w:t>dereifikácie</w:t>
      </w:r>
      <w:proofErr w:type="spellEnd"/>
      <w:r w:rsidR="00AE4570" w:rsidRPr="00C81255">
        <w:rPr>
          <w:sz w:val="24"/>
          <w:szCs w:val="24"/>
        </w:rPr>
        <w:t xml:space="preserve"> živého zvieraťa. </w:t>
      </w:r>
      <w:r w:rsidR="001F01D2" w:rsidRPr="00C81255">
        <w:rPr>
          <w:sz w:val="24"/>
          <w:szCs w:val="24"/>
        </w:rPr>
        <w:t>Zmena prístupu ku kategórií živých zvierat odôvodňuje aktuálnosť témy predloženej habilitačnej práce, ktorá je však zvýraznená i tým, že otázk</w:t>
      </w:r>
      <w:r w:rsidR="00F20B26" w:rsidRPr="00C81255">
        <w:rPr>
          <w:sz w:val="24"/>
          <w:szCs w:val="24"/>
        </w:rPr>
        <w:t>a</w:t>
      </w:r>
      <w:r w:rsidR="001F01D2" w:rsidRPr="00C81255">
        <w:rPr>
          <w:sz w:val="24"/>
          <w:szCs w:val="24"/>
        </w:rPr>
        <w:t xml:space="preserve"> právneho postavenia živého zvieraťa sa aj do jeho vyčlenenia do samostatnej kategórie predmetov právnych vzťahov </w:t>
      </w:r>
      <w:r w:rsidR="00F20B26" w:rsidRPr="00C81255">
        <w:rPr>
          <w:sz w:val="24"/>
          <w:szCs w:val="24"/>
        </w:rPr>
        <w:t xml:space="preserve">nebola doteraz predmetom žiadneho vedeckého skúmania. Práca preto predstavuje originálne vedecké dielo, a to aj s ohľadom na ucelenosť spracovania témy. </w:t>
      </w:r>
    </w:p>
    <w:p w14:paraId="7BE90C85" w14:textId="77777777" w:rsidR="00F20B26" w:rsidRPr="00C81255" w:rsidRDefault="00F20B26" w:rsidP="00F20B26">
      <w:pPr>
        <w:spacing w:line="360" w:lineRule="auto"/>
        <w:jc w:val="both"/>
        <w:rPr>
          <w:sz w:val="24"/>
          <w:szCs w:val="24"/>
        </w:rPr>
      </w:pPr>
    </w:p>
    <w:p w14:paraId="3F66F830" w14:textId="3EF5EF45" w:rsidR="00AB515D" w:rsidRPr="00C81255" w:rsidRDefault="00AB515D" w:rsidP="00F20B26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C81255">
        <w:rPr>
          <w:b/>
          <w:color w:val="000000" w:themeColor="text1"/>
          <w:sz w:val="22"/>
          <w:szCs w:val="22"/>
        </w:rPr>
        <w:t>Splnenie cieľa a vhodnosť štruktúry obsahu práce z hľadiska zadanej témy:</w:t>
      </w:r>
      <w:r w:rsidRPr="00C81255">
        <w:rPr>
          <w:color w:val="000000" w:themeColor="text1"/>
          <w:sz w:val="22"/>
          <w:szCs w:val="22"/>
        </w:rPr>
        <w:t xml:space="preserve"> </w:t>
      </w:r>
    </w:p>
    <w:p w14:paraId="6C4C1689" w14:textId="23AA006E" w:rsidR="00AB515D" w:rsidRPr="00C81255" w:rsidRDefault="00AB515D" w:rsidP="00F20B26">
      <w:pPr>
        <w:jc w:val="both"/>
        <w:rPr>
          <w:color w:val="000000" w:themeColor="text1"/>
          <w:sz w:val="22"/>
          <w:szCs w:val="22"/>
        </w:rPr>
      </w:pPr>
    </w:p>
    <w:p w14:paraId="16890F29" w14:textId="07D6989C" w:rsidR="003A22EA" w:rsidRPr="00C81255" w:rsidRDefault="00F20B26" w:rsidP="003A22EA">
      <w:pPr>
        <w:spacing w:line="360" w:lineRule="auto"/>
        <w:jc w:val="both"/>
        <w:rPr>
          <w:sz w:val="24"/>
          <w:szCs w:val="24"/>
        </w:rPr>
      </w:pPr>
      <w:r w:rsidRPr="00C81255">
        <w:rPr>
          <w:sz w:val="24"/>
          <w:szCs w:val="24"/>
        </w:rPr>
        <w:lastRenderedPageBreak/>
        <w:t xml:space="preserve">Jednotlivé hypotézy vedeckého skúmania, ktoré si autor stanovil sú vymedzené na str. 15 habilitačnej práce. </w:t>
      </w:r>
      <w:r w:rsidR="0000287F" w:rsidRPr="00C81255">
        <w:rPr>
          <w:sz w:val="24"/>
          <w:szCs w:val="24"/>
        </w:rPr>
        <w:t>S vymedzenými tézami korešponduje aj systematické členenie práce</w:t>
      </w:r>
      <w:r w:rsidR="003A22EA" w:rsidRPr="00C81255">
        <w:rPr>
          <w:sz w:val="24"/>
          <w:szCs w:val="24"/>
        </w:rPr>
        <w:t xml:space="preserve"> </w:t>
      </w:r>
      <w:r w:rsidR="0000287F" w:rsidRPr="00C81255">
        <w:rPr>
          <w:sz w:val="24"/>
          <w:szCs w:val="24"/>
        </w:rPr>
        <w:t xml:space="preserve">a práca je členená </w:t>
      </w:r>
      <w:r w:rsidR="003A22EA" w:rsidRPr="00C81255">
        <w:rPr>
          <w:sz w:val="24"/>
          <w:szCs w:val="24"/>
        </w:rPr>
        <w:t xml:space="preserve">do piatich základných kapitol. Systematika a štruktúra práce je však prehľadná, formálno-logicky dobre usporiadaná a jednotlivé časti práce sú na seba nadväzujúce. </w:t>
      </w:r>
      <w:r w:rsidR="00A47C94" w:rsidRPr="00C81255">
        <w:rPr>
          <w:sz w:val="24"/>
          <w:szCs w:val="24"/>
        </w:rPr>
        <w:t>Komplexnosť práce je zvýraznená aj tým, že autor sa nezoberá výlučne len súkromnoprávnym pohľadom na danú problematiku</w:t>
      </w:r>
      <w:r w:rsidR="004F2061">
        <w:rPr>
          <w:sz w:val="24"/>
          <w:szCs w:val="24"/>
        </w:rPr>
        <w:t xml:space="preserve">, ale </w:t>
      </w:r>
      <w:r w:rsidR="00A47C94" w:rsidRPr="00C81255">
        <w:rPr>
          <w:sz w:val="24"/>
          <w:szCs w:val="24"/>
        </w:rPr>
        <w:t xml:space="preserve">vhodne </w:t>
      </w:r>
      <w:r w:rsidR="004F2061">
        <w:rPr>
          <w:sz w:val="24"/>
          <w:szCs w:val="24"/>
        </w:rPr>
        <w:t xml:space="preserve">ju </w:t>
      </w:r>
      <w:r w:rsidR="00F63D8F" w:rsidRPr="00C81255">
        <w:rPr>
          <w:sz w:val="24"/>
          <w:szCs w:val="24"/>
        </w:rPr>
        <w:t xml:space="preserve">dopĺňa aj podstatnou významnou verejnoprávnou úpravou, nakoľko tak ako </w:t>
      </w:r>
      <w:r w:rsidR="004F2061">
        <w:rPr>
          <w:sz w:val="24"/>
          <w:szCs w:val="24"/>
        </w:rPr>
        <w:t xml:space="preserve">autor </w:t>
      </w:r>
      <w:r w:rsidR="00F63D8F" w:rsidRPr="00C81255">
        <w:rPr>
          <w:sz w:val="24"/>
          <w:szCs w:val="24"/>
        </w:rPr>
        <w:t>uvádza</w:t>
      </w:r>
      <w:r w:rsidR="004F2061">
        <w:rPr>
          <w:sz w:val="24"/>
          <w:szCs w:val="24"/>
        </w:rPr>
        <w:t>,</w:t>
      </w:r>
      <w:r w:rsidR="00F63D8F" w:rsidRPr="00C81255">
        <w:rPr>
          <w:sz w:val="24"/>
          <w:szCs w:val="24"/>
        </w:rPr>
        <w:t xml:space="preserve"> samotné postavenie zvieraťa v súkromnoprávnych vzťahoch je vo veľkej miere ňou ovplyvnené.</w:t>
      </w:r>
    </w:p>
    <w:p w14:paraId="020B7EB6" w14:textId="77777777" w:rsidR="00AB515D" w:rsidRPr="00C81255" w:rsidRDefault="00AB515D" w:rsidP="00AB515D">
      <w:pPr>
        <w:ind w:left="720"/>
        <w:jc w:val="both"/>
        <w:rPr>
          <w:color w:val="000000" w:themeColor="text1"/>
          <w:sz w:val="22"/>
          <w:szCs w:val="22"/>
        </w:rPr>
      </w:pPr>
    </w:p>
    <w:p w14:paraId="113665DB" w14:textId="148FBAC1" w:rsidR="00F63D8F" w:rsidRPr="00C81255" w:rsidRDefault="00F63D8F" w:rsidP="00AB515D">
      <w:pPr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C81255">
        <w:rPr>
          <w:b/>
          <w:color w:val="000000" w:themeColor="text1"/>
          <w:sz w:val="22"/>
          <w:szCs w:val="22"/>
        </w:rPr>
        <w:t xml:space="preserve">Metodika spracovania </w:t>
      </w:r>
    </w:p>
    <w:p w14:paraId="68FC2E24" w14:textId="77777777" w:rsidR="000D4B47" w:rsidRPr="00C81255" w:rsidRDefault="000D4B47" w:rsidP="000D4B47">
      <w:pPr>
        <w:ind w:left="360"/>
        <w:jc w:val="both"/>
        <w:rPr>
          <w:b/>
          <w:color w:val="000000" w:themeColor="text1"/>
          <w:sz w:val="22"/>
          <w:szCs w:val="22"/>
        </w:rPr>
      </w:pPr>
    </w:p>
    <w:p w14:paraId="44849E77" w14:textId="76B92E5A" w:rsidR="00F63D8F" w:rsidRPr="00C81255" w:rsidRDefault="00F63D8F" w:rsidP="00915288">
      <w:pPr>
        <w:spacing w:line="360" w:lineRule="auto"/>
        <w:jc w:val="both"/>
        <w:rPr>
          <w:sz w:val="24"/>
          <w:szCs w:val="24"/>
        </w:rPr>
      </w:pPr>
      <w:r w:rsidRPr="00C81255">
        <w:rPr>
          <w:sz w:val="24"/>
          <w:szCs w:val="24"/>
        </w:rPr>
        <w:t xml:space="preserve">V úvodnej časti práce autor vymedzuje </w:t>
      </w:r>
      <w:r w:rsidR="00915288" w:rsidRPr="00C81255">
        <w:rPr>
          <w:sz w:val="24"/>
          <w:szCs w:val="24"/>
        </w:rPr>
        <w:t>jednotlivé metódy skúmania, ktoré použil v rámci svojho vedeckého skúmania, pričom používa štandardné vedecké</w:t>
      </w:r>
      <w:r w:rsidR="004F2061">
        <w:rPr>
          <w:sz w:val="24"/>
          <w:szCs w:val="24"/>
        </w:rPr>
        <w:t xml:space="preserve"> metódy</w:t>
      </w:r>
      <w:r w:rsidR="00915288" w:rsidRPr="00C81255">
        <w:rPr>
          <w:sz w:val="24"/>
          <w:szCs w:val="24"/>
        </w:rPr>
        <w:t xml:space="preserve"> v oblasti spoločenských vied, a to najmä analytickú, induktívnu, syntetickú a komparačnú. </w:t>
      </w:r>
      <w:r w:rsidR="00AD1405" w:rsidRPr="00C81255">
        <w:rPr>
          <w:sz w:val="24"/>
          <w:szCs w:val="24"/>
        </w:rPr>
        <w:t>Tieto metódy správne kombinuje, tak že analyzuje jednak dosiahnutú úroveň poznania následne získane pozna</w:t>
      </w:r>
      <w:r w:rsidR="000D4B47" w:rsidRPr="00C81255">
        <w:rPr>
          <w:sz w:val="24"/>
          <w:szCs w:val="24"/>
        </w:rPr>
        <w:t>t</w:t>
      </w:r>
      <w:r w:rsidR="00AD1405" w:rsidRPr="00C81255">
        <w:rPr>
          <w:sz w:val="24"/>
          <w:szCs w:val="24"/>
        </w:rPr>
        <w:t xml:space="preserve">ky spracováva a vyvodzuje z nich jednotlivé závery. Jednotlivé závery, ktoré autor následne vyvodzuje sú preto logicky vyvodzované a podporené predchádzajúcou analýzou ako aj </w:t>
      </w:r>
      <w:r w:rsidR="000D4B47" w:rsidRPr="00C81255">
        <w:rPr>
          <w:sz w:val="24"/>
          <w:szCs w:val="24"/>
        </w:rPr>
        <w:t>použitými</w:t>
      </w:r>
      <w:r w:rsidR="00AD1405" w:rsidRPr="00C81255">
        <w:rPr>
          <w:sz w:val="24"/>
          <w:szCs w:val="24"/>
        </w:rPr>
        <w:t xml:space="preserve"> výkladmi právneho textu a to predovšetkým prostredníctvom výkladu </w:t>
      </w:r>
      <w:r w:rsidR="00915288" w:rsidRPr="00C81255">
        <w:rPr>
          <w:sz w:val="24"/>
          <w:szCs w:val="24"/>
        </w:rPr>
        <w:t>systematick</w:t>
      </w:r>
      <w:r w:rsidR="00AD1405" w:rsidRPr="00C81255">
        <w:rPr>
          <w:sz w:val="24"/>
          <w:szCs w:val="24"/>
        </w:rPr>
        <w:t>ého</w:t>
      </w:r>
      <w:r w:rsidR="00915288" w:rsidRPr="00C81255">
        <w:rPr>
          <w:sz w:val="24"/>
          <w:szCs w:val="24"/>
        </w:rPr>
        <w:t>, historick</w:t>
      </w:r>
      <w:r w:rsidR="00AD1405" w:rsidRPr="00C81255">
        <w:rPr>
          <w:sz w:val="24"/>
          <w:szCs w:val="24"/>
        </w:rPr>
        <w:t>ého</w:t>
      </w:r>
      <w:r w:rsidR="00915288" w:rsidRPr="00C81255">
        <w:rPr>
          <w:sz w:val="24"/>
          <w:szCs w:val="24"/>
        </w:rPr>
        <w:t>, gramatick</w:t>
      </w:r>
      <w:r w:rsidR="00AD1405" w:rsidRPr="00C81255">
        <w:rPr>
          <w:sz w:val="24"/>
          <w:szCs w:val="24"/>
        </w:rPr>
        <w:t>ého</w:t>
      </w:r>
      <w:r w:rsidR="00915288" w:rsidRPr="00C81255">
        <w:rPr>
          <w:sz w:val="24"/>
          <w:szCs w:val="24"/>
        </w:rPr>
        <w:t>, logick</w:t>
      </w:r>
      <w:r w:rsidR="00AD1405" w:rsidRPr="00C81255">
        <w:rPr>
          <w:sz w:val="24"/>
          <w:szCs w:val="24"/>
        </w:rPr>
        <w:t xml:space="preserve">ého ako aj </w:t>
      </w:r>
      <w:r w:rsidR="00915288" w:rsidRPr="00C81255">
        <w:rPr>
          <w:sz w:val="24"/>
          <w:szCs w:val="24"/>
        </w:rPr>
        <w:t>teleologick</w:t>
      </w:r>
      <w:r w:rsidR="00AD1405" w:rsidRPr="00C81255">
        <w:rPr>
          <w:sz w:val="24"/>
          <w:szCs w:val="24"/>
        </w:rPr>
        <w:t xml:space="preserve">ého. </w:t>
      </w:r>
      <w:r w:rsidR="000D4B47" w:rsidRPr="00C81255">
        <w:rPr>
          <w:sz w:val="24"/>
          <w:szCs w:val="24"/>
        </w:rPr>
        <w:t xml:space="preserve">V rámci svojich záverov súčasne formuluje aj prípadné návrhy de </w:t>
      </w:r>
      <w:proofErr w:type="spellStart"/>
      <w:r w:rsidR="000D4B47" w:rsidRPr="00C81255">
        <w:rPr>
          <w:sz w:val="24"/>
          <w:szCs w:val="24"/>
        </w:rPr>
        <w:t>lege</w:t>
      </w:r>
      <w:proofErr w:type="spellEnd"/>
      <w:r w:rsidR="000D4B47" w:rsidRPr="00C81255">
        <w:rPr>
          <w:sz w:val="24"/>
          <w:szCs w:val="24"/>
        </w:rPr>
        <w:t xml:space="preserve"> </w:t>
      </w:r>
      <w:proofErr w:type="spellStart"/>
      <w:r w:rsidR="000D4B47" w:rsidRPr="00C81255">
        <w:rPr>
          <w:sz w:val="24"/>
          <w:szCs w:val="24"/>
        </w:rPr>
        <w:t>ferenda</w:t>
      </w:r>
      <w:proofErr w:type="spellEnd"/>
      <w:r w:rsidR="000D4B47" w:rsidRPr="00C81255">
        <w:rPr>
          <w:sz w:val="24"/>
          <w:szCs w:val="24"/>
        </w:rPr>
        <w:t xml:space="preserve">. </w:t>
      </w:r>
    </w:p>
    <w:p w14:paraId="3241DD93" w14:textId="77777777" w:rsidR="000D4B47" w:rsidRPr="00C81255" w:rsidRDefault="000D4B47" w:rsidP="00915288">
      <w:pPr>
        <w:spacing w:line="360" w:lineRule="auto"/>
        <w:jc w:val="both"/>
        <w:rPr>
          <w:sz w:val="24"/>
          <w:szCs w:val="24"/>
        </w:rPr>
      </w:pPr>
    </w:p>
    <w:p w14:paraId="0E08CFA2" w14:textId="1465673E" w:rsidR="00AB515D" w:rsidRPr="00C81255" w:rsidRDefault="003A22EA" w:rsidP="00AB515D">
      <w:pPr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C81255">
        <w:rPr>
          <w:b/>
          <w:color w:val="000000" w:themeColor="text1"/>
          <w:sz w:val="22"/>
          <w:szCs w:val="22"/>
        </w:rPr>
        <w:t>V</w:t>
      </w:r>
      <w:r w:rsidR="00AB515D" w:rsidRPr="00C81255">
        <w:rPr>
          <w:b/>
          <w:color w:val="000000" w:themeColor="text1"/>
          <w:sz w:val="22"/>
          <w:szCs w:val="22"/>
        </w:rPr>
        <w:t xml:space="preserve">yužitie odbornej literatúry: </w:t>
      </w:r>
    </w:p>
    <w:p w14:paraId="750D7788" w14:textId="23DE0E5F" w:rsidR="00AB515D" w:rsidRPr="00C81255" w:rsidRDefault="00AB515D" w:rsidP="000D4B47">
      <w:pPr>
        <w:ind w:left="360"/>
        <w:jc w:val="both"/>
        <w:rPr>
          <w:color w:val="000000" w:themeColor="text1"/>
          <w:sz w:val="22"/>
          <w:szCs w:val="22"/>
        </w:rPr>
      </w:pPr>
    </w:p>
    <w:p w14:paraId="18DA0E4F" w14:textId="3A85CBEC" w:rsidR="000D4B47" w:rsidRPr="00C81255" w:rsidRDefault="000D4B47" w:rsidP="0031655A">
      <w:pPr>
        <w:spacing w:line="360" w:lineRule="auto"/>
        <w:jc w:val="both"/>
        <w:rPr>
          <w:sz w:val="24"/>
          <w:szCs w:val="24"/>
        </w:rPr>
      </w:pPr>
      <w:r w:rsidRPr="00C81255">
        <w:rPr>
          <w:sz w:val="24"/>
          <w:szCs w:val="24"/>
        </w:rPr>
        <w:t xml:space="preserve">Autor využíva bohatý citačný aparát </w:t>
      </w:r>
      <w:r w:rsidR="0031655A" w:rsidRPr="00C81255">
        <w:rPr>
          <w:sz w:val="24"/>
          <w:szCs w:val="24"/>
        </w:rPr>
        <w:t xml:space="preserve">a literárne zdroje. Keďže problematika súkromnoprávneho postavenia živého zvieraťa nie je v Slovenskej republike spracovaná jedná sa predovšetkým o zdroje zahraničnej proveniencie. Predovšetkým z nemeckej, anglosaskej a českej proveniencie, ktoré vhodne do práce zakomponováva. Bohatosť zdrojov preukazuje schopnosť autora realizovať vedeckú analýzu a vyvodzovať z nej príslušné závery. </w:t>
      </w:r>
    </w:p>
    <w:p w14:paraId="39ECF7C6" w14:textId="77777777" w:rsidR="0031655A" w:rsidRPr="00C81255" w:rsidRDefault="0031655A" w:rsidP="0031655A">
      <w:pPr>
        <w:spacing w:line="360" w:lineRule="auto"/>
        <w:jc w:val="both"/>
        <w:rPr>
          <w:sz w:val="24"/>
          <w:szCs w:val="24"/>
        </w:rPr>
      </w:pPr>
    </w:p>
    <w:p w14:paraId="6FCAEE03" w14:textId="32E19203" w:rsidR="00AB515D" w:rsidRPr="00C81255" w:rsidRDefault="00D85AE8" w:rsidP="00D85AE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C81255">
        <w:rPr>
          <w:b/>
          <w:color w:val="000000" w:themeColor="text1"/>
          <w:sz w:val="22"/>
          <w:szCs w:val="22"/>
        </w:rPr>
        <w:t>Formálna a j</w:t>
      </w:r>
      <w:r w:rsidR="00AB515D" w:rsidRPr="00C81255">
        <w:rPr>
          <w:b/>
          <w:color w:val="000000" w:themeColor="text1"/>
          <w:sz w:val="22"/>
          <w:szCs w:val="22"/>
        </w:rPr>
        <w:t xml:space="preserve">azyková </w:t>
      </w:r>
      <w:r w:rsidRPr="00C81255">
        <w:rPr>
          <w:b/>
          <w:color w:val="000000" w:themeColor="text1"/>
          <w:sz w:val="22"/>
          <w:szCs w:val="22"/>
        </w:rPr>
        <w:t xml:space="preserve">stránka </w:t>
      </w:r>
    </w:p>
    <w:p w14:paraId="145D5EEF" w14:textId="12AB4D0B" w:rsidR="00AB515D" w:rsidRPr="00C81255" w:rsidRDefault="00AB515D" w:rsidP="007D6E65">
      <w:pPr>
        <w:jc w:val="both"/>
        <w:rPr>
          <w:color w:val="000000" w:themeColor="text1"/>
          <w:sz w:val="22"/>
          <w:szCs w:val="22"/>
        </w:rPr>
      </w:pPr>
    </w:p>
    <w:p w14:paraId="19116805" w14:textId="014F62DE" w:rsidR="00D85AE8" w:rsidRPr="00C81255" w:rsidRDefault="00D85AE8" w:rsidP="00D85AE8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C81255">
        <w:rPr>
          <w:sz w:val="24"/>
          <w:szCs w:val="24"/>
        </w:rPr>
        <w:t xml:space="preserve">Po formálnej stránke predložená habilitačná práca spĺňa nároky kladené na tento typ práce. Použitý jazyk, výrazové prostriedky a štylistika zodpovedajú požiadavkám na odborný právny text. Neznižujúc hodnotu práce je však možné poukázať, že v práci sa vyskytujú zriedkavé pravopisné chyby resp. tzv. preklepy. Ide napr. o preklep na str. 15 resp. str. 69 a str. 83. Miera </w:t>
      </w:r>
      <w:r w:rsidRPr="00C81255">
        <w:rPr>
          <w:sz w:val="24"/>
          <w:szCs w:val="24"/>
        </w:rPr>
        <w:lastRenderedPageBreak/>
        <w:t>ich výskytu je však prijateľná. A žiadnym spôsobom nezasahuje do významu a hodnoty predloženej práce.</w:t>
      </w:r>
      <w:r w:rsidRPr="00C81255">
        <w:rPr>
          <w:color w:val="000000" w:themeColor="text1"/>
          <w:sz w:val="22"/>
          <w:szCs w:val="22"/>
        </w:rPr>
        <w:t xml:space="preserve"> </w:t>
      </w:r>
    </w:p>
    <w:p w14:paraId="5D908FE0" w14:textId="77777777" w:rsidR="009B62D6" w:rsidRPr="00C81255" w:rsidRDefault="009B62D6" w:rsidP="00D85AE8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31F10AB2" w14:textId="77777777" w:rsidR="009B62D6" w:rsidRPr="00C81255" w:rsidRDefault="009B62D6" w:rsidP="009B62D6">
      <w:pPr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C81255">
        <w:rPr>
          <w:b/>
          <w:color w:val="000000" w:themeColor="text1"/>
          <w:sz w:val="22"/>
          <w:szCs w:val="22"/>
        </w:rPr>
        <w:t>Dosiahnuté výsledky:</w:t>
      </w:r>
    </w:p>
    <w:p w14:paraId="44CF7B5E" w14:textId="77777777" w:rsidR="009B62D6" w:rsidRPr="00C81255" w:rsidRDefault="009B62D6" w:rsidP="00D85AE8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642FA764" w14:textId="77777777" w:rsidR="0018675D" w:rsidRPr="00C81255" w:rsidRDefault="009B62D6" w:rsidP="00D85AE8">
      <w:pPr>
        <w:spacing w:line="360" w:lineRule="auto"/>
        <w:jc w:val="both"/>
        <w:rPr>
          <w:sz w:val="24"/>
          <w:szCs w:val="24"/>
        </w:rPr>
      </w:pPr>
      <w:r w:rsidRPr="00C81255">
        <w:rPr>
          <w:sz w:val="24"/>
          <w:szCs w:val="24"/>
        </w:rPr>
        <w:t>Práca, tak ako bolo už uvádzané je štruktúrovaná do piatich kapitol. V úvodných kapitolách autor prezentuje základné teoretické východiská pre pojem právneho vzťahu a jeho jednotlivých prvkov. Pojem právneho vzťahu je základným pojmom pre vykonanie analýzy kategorizácie predmetu právneho vzťahu</w:t>
      </w:r>
      <w:r w:rsidR="00F9083B" w:rsidRPr="00C81255">
        <w:rPr>
          <w:sz w:val="24"/>
          <w:szCs w:val="24"/>
        </w:rPr>
        <w:t>. Je to dané tým, že predmet právneho vzťahu je jedným z jeho prvkov. Samozrejme, že vzhľadom na tému autor vykonáva vhodné zovšeobecnenie na základný úvod do problematiky a nevyhnutný historický exkurz na vnímanie právneho postavenia zvieraťa v právnom vzťahu. V tejto súvislosti autor správne poukazuje, že právo predstavuje tzv. sociálnu ved</w:t>
      </w:r>
      <w:r w:rsidR="0018675D" w:rsidRPr="00C81255">
        <w:rPr>
          <w:sz w:val="24"/>
          <w:szCs w:val="24"/>
        </w:rPr>
        <w:t xml:space="preserve">u a názor prezentovaný </w:t>
      </w:r>
      <w:proofErr w:type="spellStart"/>
      <w:r w:rsidR="0018675D" w:rsidRPr="00C81255">
        <w:rPr>
          <w:sz w:val="24"/>
          <w:szCs w:val="24"/>
        </w:rPr>
        <w:t>Cuppom</w:t>
      </w:r>
      <w:proofErr w:type="spellEnd"/>
      <w:r w:rsidR="0018675D" w:rsidRPr="00C81255">
        <w:rPr>
          <w:sz w:val="24"/>
          <w:szCs w:val="24"/>
        </w:rPr>
        <w:t xml:space="preserve"> v zmysle ktorého pojem právo je ľudským pojmom</w:t>
      </w:r>
      <w:r w:rsidR="00F9083B" w:rsidRPr="00C81255">
        <w:rPr>
          <w:sz w:val="24"/>
          <w:szCs w:val="24"/>
        </w:rPr>
        <w:t>.</w:t>
      </w:r>
      <w:r w:rsidR="0018675D" w:rsidRPr="00C81255">
        <w:rPr>
          <w:sz w:val="24"/>
          <w:szCs w:val="24"/>
        </w:rPr>
        <w:t xml:space="preserve"> Uvedený názor odráža </w:t>
      </w:r>
      <w:proofErr w:type="spellStart"/>
      <w:r w:rsidR="0018675D" w:rsidRPr="00C81255">
        <w:rPr>
          <w:sz w:val="24"/>
          <w:szCs w:val="24"/>
        </w:rPr>
        <w:t>Searlovu</w:t>
      </w:r>
      <w:proofErr w:type="spellEnd"/>
      <w:r w:rsidR="0018675D" w:rsidRPr="00C81255">
        <w:rPr>
          <w:sz w:val="24"/>
          <w:szCs w:val="24"/>
        </w:rPr>
        <w:t xml:space="preserve"> teóriu základu sociálnych vied odvíjajúcu sa od tzv. inštitucionálnych faktov. Preto správne odmieta názor o možnosti priznania spôsobilosti na práva zvieratám, hoc takéto tendencie sú už zaznamenané. Uvedený záver súčasne podporuje i poukazom na rozhodnutie Najvyššieho súdu štátu New </w:t>
      </w:r>
      <w:proofErr w:type="spellStart"/>
      <w:r w:rsidR="0018675D" w:rsidRPr="00C81255">
        <w:rPr>
          <w:sz w:val="24"/>
          <w:szCs w:val="24"/>
        </w:rPr>
        <w:t>Yourk</w:t>
      </w:r>
      <w:proofErr w:type="spellEnd"/>
      <w:r w:rsidR="0018675D" w:rsidRPr="00C81255">
        <w:rPr>
          <w:sz w:val="24"/>
          <w:szCs w:val="24"/>
        </w:rPr>
        <w:t xml:space="preserve"> (str. 29).</w:t>
      </w:r>
    </w:p>
    <w:p w14:paraId="06E29DB6" w14:textId="77777777" w:rsidR="0018675D" w:rsidRPr="00C81255" w:rsidRDefault="0018675D" w:rsidP="00D85AE8">
      <w:pPr>
        <w:spacing w:line="360" w:lineRule="auto"/>
        <w:jc w:val="both"/>
        <w:rPr>
          <w:sz w:val="24"/>
          <w:szCs w:val="24"/>
        </w:rPr>
      </w:pPr>
    </w:p>
    <w:p w14:paraId="612FD6A7" w14:textId="77777777" w:rsidR="001C30C0" w:rsidRPr="00C81255" w:rsidRDefault="0018675D" w:rsidP="00D85AE8">
      <w:pPr>
        <w:spacing w:line="360" w:lineRule="auto"/>
        <w:jc w:val="both"/>
        <w:rPr>
          <w:sz w:val="24"/>
          <w:szCs w:val="24"/>
        </w:rPr>
      </w:pPr>
      <w:r w:rsidRPr="00C81255">
        <w:rPr>
          <w:sz w:val="24"/>
          <w:szCs w:val="24"/>
        </w:rPr>
        <w:t xml:space="preserve">V druhej kapitole poukazuje na základné triedenie predmetu právneho vzťahu, ktoré vychádza z ustanovení § 118 Občianskeho zákonníka. </w:t>
      </w:r>
      <w:r w:rsidR="00527CAC" w:rsidRPr="00C81255">
        <w:rPr>
          <w:sz w:val="24"/>
          <w:szCs w:val="24"/>
        </w:rPr>
        <w:t>V tejto súvislosti poukazuje aj na príslušnú historickú analýzu ponímania zvieraťa ako veci. V podkapitole 2.2.</w:t>
      </w:r>
      <w:r w:rsidR="001C30C0" w:rsidRPr="00C81255">
        <w:rPr>
          <w:sz w:val="24"/>
          <w:szCs w:val="24"/>
        </w:rPr>
        <w:t xml:space="preserve">s názvom veci, byty a nebytové priestory je možné pouvažovať nad prípadnou zmenou názvu. Z obsahu kapitoly je síce zrejmé, že byty a nebytové priestory predstavujú jednu z mnohých druhov vecí s určitými osobitosťami (str. 42), ale stále ide len o vec. Názov však navádza na úvahu o ich samostatnom charaktere. </w:t>
      </w:r>
    </w:p>
    <w:p w14:paraId="621422DC" w14:textId="77777777" w:rsidR="001C30C0" w:rsidRPr="00C81255" w:rsidRDefault="001C30C0" w:rsidP="00D85AE8">
      <w:pPr>
        <w:spacing w:line="360" w:lineRule="auto"/>
        <w:jc w:val="both"/>
        <w:rPr>
          <w:sz w:val="24"/>
          <w:szCs w:val="24"/>
        </w:rPr>
      </w:pPr>
    </w:p>
    <w:p w14:paraId="10E37F27" w14:textId="2FC58864" w:rsidR="009E126A" w:rsidRPr="00C81255" w:rsidRDefault="00A3221B" w:rsidP="00D85A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t</w:t>
      </w:r>
      <w:r w:rsidR="001C30C0" w:rsidRPr="00C81255">
        <w:rPr>
          <w:sz w:val="24"/>
          <w:szCs w:val="24"/>
        </w:rPr>
        <w:t xml:space="preserve">retej kapitole sa autor venuje samotnému vymedzeniu pojmu živého zvieraťa. </w:t>
      </w:r>
      <w:r w:rsidR="00F704EA" w:rsidRPr="00C81255">
        <w:rPr>
          <w:sz w:val="24"/>
          <w:szCs w:val="24"/>
        </w:rPr>
        <w:t xml:space="preserve">V danej súvislosti poukazuje, že uvedený pojem je tvorený tromi pojmovými atribútmi,  a to že je súčasťou živej prírody, je živočíchom a v neposlednom rade, že má schopnosť cítenia. Uvedené atribúty následne analyzuje a vymedzuje ich obsah. Osobitne je potrebné vyzdvihnúť rozobratie pojmového znaku vnímať vlastnými zmyslami. V danom prípade autor správne poukazuje, že uvedený znak je možné vnímať tak v rovine biologickej alebo </w:t>
      </w:r>
      <w:proofErr w:type="spellStart"/>
      <w:r w:rsidR="00EE20A7" w:rsidRPr="00C81255">
        <w:rPr>
          <w:sz w:val="24"/>
          <w:szCs w:val="24"/>
        </w:rPr>
        <w:t>bioetickej</w:t>
      </w:r>
      <w:proofErr w:type="spellEnd"/>
      <w:r w:rsidR="00F704EA" w:rsidRPr="00C81255">
        <w:rPr>
          <w:sz w:val="24"/>
          <w:szCs w:val="24"/>
        </w:rPr>
        <w:t>.</w:t>
      </w:r>
      <w:r w:rsidR="00EE20A7" w:rsidRPr="00C81255">
        <w:rPr>
          <w:sz w:val="24"/>
          <w:szCs w:val="24"/>
        </w:rPr>
        <w:t xml:space="preserve"> Správne však poukazuje, že kým prvá rovina </w:t>
      </w:r>
      <w:r w:rsidR="00F704EA" w:rsidRPr="00C81255">
        <w:rPr>
          <w:sz w:val="24"/>
          <w:szCs w:val="24"/>
        </w:rPr>
        <w:t xml:space="preserve">by </w:t>
      </w:r>
      <w:r w:rsidR="00EE20A7" w:rsidRPr="00C81255">
        <w:rPr>
          <w:sz w:val="24"/>
          <w:szCs w:val="24"/>
        </w:rPr>
        <w:t xml:space="preserve">zo skupiny živočíchov nevyčleňovala žiadne zviera v druhej </w:t>
      </w:r>
      <w:r w:rsidR="00EE20A7" w:rsidRPr="00C81255">
        <w:rPr>
          <w:sz w:val="24"/>
          <w:szCs w:val="24"/>
        </w:rPr>
        <w:lastRenderedPageBreak/>
        <w:t xml:space="preserve">rovine dochádza k </w:t>
      </w:r>
      <w:r w:rsidR="00F704EA" w:rsidRPr="00C81255">
        <w:rPr>
          <w:sz w:val="24"/>
          <w:szCs w:val="24"/>
        </w:rPr>
        <w:t xml:space="preserve">zúženiu len na skupinu zvierat s vyššou nervovou sústavou. </w:t>
      </w:r>
      <w:r w:rsidR="00EE20A7" w:rsidRPr="00C81255">
        <w:rPr>
          <w:sz w:val="24"/>
          <w:szCs w:val="24"/>
        </w:rPr>
        <w:t xml:space="preserve">Následne však vzhľadom na znenie § 119 ods. 3 OZ </w:t>
      </w:r>
      <w:r>
        <w:rPr>
          <w:sz w:val="24"/>
          <w:szCs w:val="24"/>
        </w:rPr>
        <w:t>konštatuje</w:t>
      </w:r>
      <w:r w:rsidR="00EE20A7" w:rsidRPr="00C81255">
        <w:rPr>
          <w:sz w:val="24"/>
          <w:szCs w:val="24"/>
        </w:rPr>
        <w:t xml:space="preserve"> správny záver, že </w:t>
      </w:r>
      <w:r w:rsidR="00F704EA" w:rsidRPr="00C81255">
        <w:rPr>
          <w:sz w:val="24"/>
          <w:szCs w:val="24"/>
        </w:rPr>
        <w:t xml:space="preserve">práve </w:t>
      </w:r>
      <w:proofErr w:type="spellStart"/>
      <w:r w:rsidR="00F704EA" w:rsidRPr="00C81255">
        <w:rPr>
          <w:sz w:val="24"/>
          <w:szCs w:val="24"/>
        </w:rPr>
        <w:t>bioetická</w:t>
      </w:r>
      <w:proofErr w:type="spellEnd"/>
      <w:r w:rsidR="00F704EA" w:rsidRPr="00C81255">
        <w:rPr>
          <w:sz w:val="24"/>
          <w:szCs w:val="24"/>
        </w:rPr>
        <w:t xml:space="preserve"> rovina je rozhodujúca</w:t>
      </w:r>
      <w:r w:rsidR="00EE20A7" w:rsidRPr="00C81255">
        <w:rPr>
          <w:sz w:val="24"/>
          <w:szCs w:val="24"/>
        </w:rPr>
        <w:t xml:space="preserve">. Uvedený záver následne </w:t>
      </w:r>
      <w:proofErr w:type="spellStart"/>
      <w:r w:rsidR="00EE20A7" w:rsidRPr="00C81255">
        <w:rPr>
          <w:sz w:val="24"/>
          <w:szCs w:val="24"/>
        </w:rPr>
        <w:t>komparuje</w:t>
      </w:r>
      <w:proofErr w:type="spellEnd"/>
      <w:r w:rsidR="00EE20A7" w:rsidRPr="00C81255">
        <w:rPr>
          <w:sz w:val="24"/>
          <w:szCs w:val="24"/>
        </w:rPr>
        <w:t xml:space="preserve"> aj porovnateľnou právnou úpravou, ktorá buď pristupuje k danej problematike rovnako (napr. Austrália, Québec alebo Česká republika) alebo rozširujúco napr. Nemecká spolková republika. </w:t>
      </w:r>
    </w:p>
    <w:p w14:paraId="523D49A2" w14:textId="77777777" w:rsidR="009E126A" w:rsidRPr="00C81255" w:rsidRDefault="009E126A" w:rsidP="00D85AE8">
      <w:pPr>
        <w:spacing w:line="360" w:lineRule="auto"/>
        <w:jc w:val="both"/>
        <w:rPr>
          <w:sz w:val="24"/>
          <w:szCs w:val="24"/>
        </w:rPr>
      </w:pPr>
    </w:p>
    <w:p w14:paraId="7A766DC1" w14:textId="77777777" w:rsidR="00011A1E" w:rsidRPr="00C81255" w:rsidRDefault="009E126A" w:rsidP="00011A1E">
      <w:pPr>
        <w:spacing w:line="360" w:lineRule="auto"/>
        <w:ind w:firstLine="708"/>
        <w:jc w:val="both"/>
        <w:rPr>
          <w:sz w:val="24"/>
          <w:szCs w:val="24"/>
        </w:rPr>
      </w:pPr>
      <w:r w:rsidRPr="00C81255">
        <w:rPr>
          <w:sz w:val="24"/>
          <w:szCs w:val="24"/>
        </w:rPr>
        <w:t xml:space="preserve">V štvrtej a piatej kapitole sa autor zaoberá s dopadom novej právnej úpravy na právne postavenie živého zvieraťa v právnych vzťahoch. Správne poukazuje na názor </w:t>
      </w:r>
      <w:proofErr w:type="spellStart"/>
      <w:r w:rsidRPr="00C81255">
        <w:rPr>
          <w:sz w:val="24"/>
          <w:szCs w:val="24"/>
        </w:rPr>
        <w:t>Lavického</w:t>
      </w:r>
      <w:proofErr w:type="spellEnd"/>
      <w:r w:rsidRPr="00C81255">
        <w:rPr>
          <w:sz w:val="24"/>
          <w:szCs w:val="24"/>
        </w:rPr>
        <w:t xml:space="preserve">, že </w:t>
      </w:r>
      <w:r w:rsidR="00EE20A7" w:rsidRPr="00C81255">
        <w:rPr>
          <w:sz w:val="24"/>
          <w:szCs w:val="24"/>
        </w:rPr>
        <w:t xml:space="preserve">  </w:t>
      </w:r>
      <w:r w:rsidRPr="00C81255">
        <w:rPr>
          <w:sz w:val="24"/>
          <w:szCs w:val="24"/>
        </w:rPr>
        <w:t xml:space="preserve">funkciou kategorizácie predmetov právnych vzťahov nie je určiť, čo má byť v bežnom ľudskom živote považované za vec, ale umožniť určité majetkové hodnoty využívať, či s nimi nakladať, teda realizovať ich úžitkovú či výmennú hodnotu. V tomto smere sa autor v štvrtej kapitole predovšetkým zaoberá obmedzením subjektívneho práva pri jeho realizácií vzhľadom na predmet právneho vzťahu. </w:t>
      </w:r>
      <w:r w:rsidR="00011A1E" w:rsidRPr="00C81255">
        <w:rPr>
          <w:sz w:val="24"/>
          <w:szCs w:val="24"/>
        </w:rPr>
        <w:t>V tomto smere poukazuje, že samotný prínos vyčlenenia živého zvieraťa do samostatnej kategórie  je práv aplikácií § 119 ods. 3 OZ druhá veta,  podľa ktorej sa na</w:t>
      </w:r>
      <w:r w:rsidR="00011A1E" w:rsidRPr="00C81255">
        <w:rPr>
          <w:rFonts w:eastAsia="Times New Roman"/>
          <w:sz w:val="24"/>
          <w:szCs w:val="24"/>
          <w:lang w:eastAsia="sk-SK"/>
        </w:rPr>
        <w:t xml:space="preserve"> živé zviera vzťahujú ustanovenia o hnuteľných veciach, ak to neodporuje povahe živého zvieraťa ako živého tvora. Podľa Dr. </w:t>
      </w:r>
      <w:proofErr w:type="spellStart"/>
      <w:r w:rsidR="00011A1E" w:rsidRPr="00C81255">
        <w:rPr>
          <w:rFonts w:eastAsia="Times New Roman"/>
          <w:sz w:val="24"/>
          <w:szCs w:val="24"/>
          <w:lang w:eastAsia="sk-SK"/>
        </w:rPr>
        <w:t>Ďuranu</w:t>
      </w:r>
      <w:proofErr w:type="spellEnd"/>
      <w:r w:rsidR="00011A1E" w:rsidRPr="00C81255">
        <w:rPr>
          <w:rFonts w:eastAsia="Times New Roman"/>
          <w:sz w:val="24"/>
          <w:szCs w:val="24"/>
          <w:lang w:eastAsia="sk-SK"/>
        </w:rPr>
        <w:t xml:space="preserve"> ide o nové obmedzenie výkonu subjektívneho práva </w:t>
      </w:r>
      <w:r w:rsidR="00011A1E" w:rsidRPr="00C81255">
        <w:rPr>
          <w:sz w:val="24"/>
          <w:szCs w:val="24"/>
        </w:rPr>
        <w:t xml:space="preserve">v právnych vzťahoch, ktorých predmetom je živé zviera. Subjekt realizujúci právo bude musieť rešpektovať nielen doteraz existujúce dynamické obmedzenie vlastníckeho práva, ale bude musieť rešpektovať aj obmedzenie výkonu subjektívneho práva vyplývajúce z povahy určitého osobitného predmetu súkromného práva. Možno súhlasiť s názorom, že  obmedzenie výkonu subjektívneho práva je realizované nie cez explicitný zákaz alebo príkaz stanovený v právnej norme, ale sa obmedzuje prostredníctvom nevyhnutnosti zohľadnenia ochrany predmetu - živého zvieraťa. Tým sa presadzuje ochranná funkcia právnej regulácie, ktorá  má chrániť špecifický charakter živých zvierat ako živého tvora. </w:t>
      </w:r>
    </w:p>
    <w:p w14:paraId="1A26ADBB" w14:textId="77777777" w:rsidR="00011A1E" w:rsidRPr="00C81255" w:rsidRDefault="00011A1E" w:rsidP="00011A1E">
      <w:pPr>
        <w:spacing w:line="360" w:lineRule="auto"/>
        <w:ind w:firstLine="708"/>
        <w:jc w:val="both"/>
        <w:rPr>
          <w:sz w:val="24"/>
          <w:szCs w:val="24"/>
        </w:rPr>
      </w:pPr>
    </w:p>
    <w:p w14:paraId="0B7C8917" w14:textId="480E20DF" w:rsidR="00620980" w:rsidRPr="00C81255" w:rsidRDefault="00011A1E" w:rsidP="00011A1E">
      <w:pPr>
        <w:spacing w:line="360" w:lineRule="auto"/>
        <w:ind w:firstLine="708"/>
        <w:jc w:val="both"/>
        <w:rPr>
          <w:sz w:val="24"/>
          <w:szCs w:val="24"/>
        </w:rPr>
      </w:pPr>
      <w:r w:rsidRPr="00C81255">
        <w:rPr>
          <w:sz w:val="24"/>
          <w:szCs w:val="24"/>
        </w:rPr>
        <w:t>V piatej kapitole sa zao</w:t>
      </w:r>
      <w:r w:rsidR="001F2E51" w:rsidRPr="00C81255">
        <w:rPr>
          <w:sz w:val="24"/>
          <w:szCs w:val="24"/>
        </w:rPr>
        <w:t>b</w:t>
      </w:r>
      <w:r w:rsidRPr="00C81255">
        <w:rPr>
          <w:sz w:val="24"/>
          <w:szCs w:val="24"/>
        </w:rPr>
        <w:t xml:space="preserve">erá </w:t>
      </w:r>
      <w:r w:rsidR="001F2E51" w:rsidRPr="00C81255">
        <w:rPr>
          <w:sz w:val="24"/>
          <w:szCs w:val="24"/>
        </w:rPr>
        <w:t xml:space="preserve">tzv. iným prejavom ochrannej funkcie právnej regulácie, právnych vzťahov so živým zvieraťom, ako v samotnom obmedzení výkonu subjektívneho práva. Poukazuje na určité špecifické otázky, ktoré </w:t>
      </w:r>
      <w:r w:rsidR="00620980" w:rsidRPr="00C81255">
        <w:rPr>
          <w:sz w:val="24"/>
          <w:szCs w:val="24"/>
        </w:rPr>
        <w:t>špecifickosť</w:t>
      </w:r>
      <w:r w:rsidR="001F2E51" w:rsidRPr="00C81255">
        <w:rPr>
          <w:sz w:val="24"/>
          <w:szCs w:val="24"/>
        </w:rPr>
        <w:t xml:space="preserve"> tohto predmetu so sebou prináša. Jedná sa predovšetkým o otázku </w:t>
      </w:r>
      <w:r w:rsidR="00620980" w:rsidRPr="00C81255">
        <w:rPr>
          <w:sz w:val="24"/>
          <w:szCs w:val="24"/>
        </w:rPr>
        <w:t>nadobúdania</w:t>
      </w:r>
      <w:r w:rsidR="001F2E51" w:rsidRPr="00C81255">
        <w:rPr>
          <w:sz w:val="24"/>
          <w:szCs w:val="24"/>
        </w:rPr>
        <w:t xml:space="preserve"> a straty vlastníckeho práva</w:t>
      </w:r>
      <w:r w:rsidR="00620980" w:rsidRPr="00C81255">
        <w:rPr>
          <w:sz w:val="24"/>
          <w:szCs w:val="24"/>
        </w:rPr>
        <w:t xml:space="preserve">, otázku zohľadnenia rizika spojených s chovom zvierat, otázku vzniku škody na zvierati a v neposlednom rade niektoré špecifické otázky pri jednotlivých druhoch </w:t>
      </w:r>
      <w:proofErr w:type="spellStart"/>
      <w:r w:rsidR="00620980" w:rsidRPr="00C81255">
        <w:rPr>
          <w:sz w:val="24"/>
          <w:szCs w:val="24"/>
        </w:rPr>
        <w:t>záväzkoprávnych</w:t>
      </w:r>
      <w:proofErr w:type="spellEnd"/>
      <w:r w:rsidR="00620980" w:rsidRPr="00C81255">
        <w:rPr>
          <w:sz w:val="24"/>
          <w:szCs w:val="24"/>
        </w:rPr>
        <w:t xml:space="preserve"> vzťahov ako napr. otázka zodpovednosti za vady na zvierati. V tejto súvislosti sa autor zaoberá otázkou tzv. okupácie zvieraťa ako aj otázkou tzv. </w:t>
      </w:r>
      <w:proofErr w:type="spellStart"/>
      <w:r w:rsidR="00620980" w:rsidRPr="00C81255">
        <w:rPr>
          <w:sz w:val="24"/>
          <w:szCs w:val="24"/>
        </w:rPr>
        <w:t>noxálnej</w:t>
      </w:r>
      <w:proofErr w:type="spellEnd"/>
      <w:r w:rsidR="00620980" w:rsidRPr="00C81255">
        <w:rPr>
          <w:sz w:val="24"/>
          <w:szCs w:val="24"/>
        </w:rPr>
        <w:t xml:space="preserve"> zodpovednosti, ktorá je v našom právnom poriadku upravená </w:t>
      </w:r>
      <w:r w:rsidR="00932EBF" w:rsidRPr="00C81255">
        <w:rPr>
          <w:sz w:val="24"/>
          <w:szCs w:val="24"/>
        </w:rPr>
        <w:t>len v § 422 a </w:t>
      </w:r>
      <w:proofErr w:type="spellStart"/>
      <w:r w:rsidR="00932EBF" w:rsidRPr="00C81255">
        <w:rPr>
          <w:sz w:val="24"/>
          <w:szCs w:val="24"/>
        </w:rPr>
        <w:t>nasl</w:t>
      </w:r>
      <w:proofErr w:type="spellEnd"/>
      <w:r w:rsidR="00932EBF" w:rsidRPr="00C81255">
        <w:rPr>
          <w:sz w:val="24"/>
          <w:szCs w:val="24"/>
        </w:rPr>
        <w:t xml:space="preserve">. OZ v rámci zodpovednosti za škodu spôsobenú </w:t>
      </w:r>
      <w:r w:rsidR="00932EBF" w:rsidRPr="00C81255">
        <w:rPr>
          <w:sz w:val="24"/>
          <w:szCs w:val="24"/>
        </w:rPr>
        <w:lastRenderedPageBreak/>
        <w:t xml:space="preserve">tými, ktorí nemôžu posúdiť následky svojho konania. Avšak tak ako poukazuje autor otázka </w:t>
      </w:r>
      <w:proofErr w:type="spellStart"/>
      <w:r w:rsidR="00932EBF" w:rsidRPr="00C81255">
        <w:rPr>
          <w:sz w:val="24"/>
          <w:szCs w:val="24"/>
        </w:rPr>
        <w:t>noxálnej</w:t>
      </w:r>
      <w:proofErr w:type="spellEnd"/>
      <w:r w:rsidR="00932EBF" w:rsidRPr="00C81255">
        <w:rPr>
          <w:sz w:val="24"/>
          <w:szCs w:val="24"/>
        </w:rPr>
        <w:t xml:space="preserve"> zodpovednosti sa už v rímskom práve neuplatňovala len v tomto prípade. Správ</w:t>
      </w:r>
      <w:r w:rsidR="00A3221B">
        <w:rPr>
          <w:sz w:val="24"/>
          <w:szCs w:val="24"/>
        </w:rPr>
        <w:t>n</w:t>
      </w:r>
      <w:r w:rsidR="00932EBF" w:rsidRPr="00C81255">
        <w:rPr>
          <w:sz w:val="24"/>
          <w:szCs w:val="24"/>
        </w:rPr>
        <w:t>e teda poukazuje na príslušné zahraničné právne úpravy, ktoré by mohli byť v </w:t>
      </w:r>
      <w:r w:rsidR="006A1CD6" w:rsidRPr="00C81255">
        <w:rPr>
          <w:sz w:val="24"/>
          <w:szCs w:val="24"/>
        </w:rPr>
        <w:t>uvedenej</w:t>
      </w:r>
      <w:r w:rsidR="00932EBF" w:rsidRPr="00C81255">
        <w:rPr>
          <w:sz w:val="24"/>
          <w:szCs w:val="24"/>
        </w:rPr>
        <w:t xml:space="preserve"> otázke implementované do nášho právneho poriadku.  </w:t>
      </w:r>
      <w:r w:rsidR="00620980" w:rsidRPr="00C81255">
        <w:rPr>
          <w:sz w:val="24"/>
          <w:szCs w:val="24"/>
        </w:rPr>
        <w:t xml:space="preserve">Uvedená časť práce vzhľadom na jednotlivé riešenia a absenciu niektorých tradičných inštitútov v našom právnom poriadku daných dobou, kedy Občiansky zákonník vznikol môžu byť cenným prínosom v rámci rekodifikačných prác. </w:t>
      </w:r>
    </w:p>
    <w:p w14:paraId="79AB9395" w14:textId="77777777" w:rsidR="00932EBF" w:rsidRPr="00C81255" w:rsidRDefault="00932EBF" w:rsidP="00011A1E">
      <w:pPr>
        <w:spacing w:line="360" w:lineRule="auto"/>
        <w:ind w:firstLine="708"/>
        <w:jc w:val="both"/>
        <w:rPr>
          <w:sz w:val="24"/>
          <w:szCs w:val="24"/>
        </w:rPr>
      </w:pPr>
    </w:p>
    <w:p w14:paraId="4649AB72" w14:textId="229CBA0C" w:rsidR="00932EBF" w:rsidRPr="00C81255" w:rsidRDefault="00932EBF" w:rsidP="00932EBF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81255">
        <w:rPr>
          <w:b/>
          <w:bCs/>
          <w:sz w:val="24"/>
          <w:szCs w:val="24"/>
        </w:rPr>
        <w:t xml:space="preserve">Prínos pre ďalší </w:t>
      </w:r>
      <w:r w:rsidRPr="00C81255">
        <w:rPr>
          <w:b/>
          <w:color w:val="000000" w:themeColor="text1"/>
          <w:sz w:val="22"/>
          <w:szCs w:val="22"/>
        </w:rPr>
        <w:t>rozvoj</w:t>
      </w:r>
      <w:r w:rsidRPr="00C81255">
        <w:rPr>
          <w:b/>
          <w:bCs/>
          <w:sz w:val="24"/>
          <w:szCs w:val="24"/>
        </w:rPr>
        <w:t xml:space="preserve"> vedy</w:t>
      </w:r>
    </w:p>
    <w:p w14:paraId="719A16A1" w14:textId="77777777" w:rsidR="00932EBF" w:rsidRPr="00C81255" w:rsidRDefault="00932EBF" w:rsidP="004F365B">
      <w:pPr>
        <w:ind w:left="360"/>
        <w:jc w:val="both"/>
        <w:rPr>
          <w:b/>
          <w:bCs/>
          <w:sz w:val="24"/>
          <w:szCs w:val="24"/>
        </w:rPr>
      </w:pPr>
    </w:p>
    <w:p w14:paraId="102492AA" w14:textId="5F52E501" w:rsidR="00932EBF" w:rsidRPr="00C81255" w:rsidRDefault="00932EBF" w:rsidP="0073076A">
      <w:pPr>
        <w:spacing w:line="360" w:lineRule="auto"/>
        <w:jc w:val="both"/>
        <w:rPr>
          <w:sz w:val="24"/>
          <w:szCs w:val="24"/>
        </w:rPr>
      </w:pPr>
      <w:r w:rsidRPr="00C81255">
        <w:rPr>
          <w:sz w:val="24"/>
          <w:szCs w:val="24"/>
        </w:rPr>
        <w:tab/>
      </w:r>
      <w:r w:rsidR="004F365B" w:rsidRPr="00C81255">
        <w:rPr>
          <w:sz w:val="24"/>
          <w:szCs w:val="24"/>
        </w:rPr>
        <w:t xml:space="preserve">Práca </w:t>
      </w:r>
      <w:r w:rsidR="0073076A" w:rsidRPr="00C81255">
        <w:rPr>
          <w:sz w:val="24"/>
          <w:szCs w:val="24"/>
        </w:rPr>
        <w:t>predstavuje komplexný pohľad na právnu úpravu na právne postavenie zvieraťa v </w:t>
      </w:r>
      <w:r w:rsidR="006A1CD6" w:rsidRPr="00C81255">
        <w:rPr>
          <w:sz w:val="24"/>
          <w:szCs w:val="24"/>
        </w:rPr>
        <w:t>súkromnom</w:t>
      </w:r>
      <w:r w:rsidR="0073076A" w:rsidRPr="00C81255">
        <w:rPr>
          <w:sz w:val="24"/>
          <w:szCs w:val="24"/>
        </w:rPr>
        <w:t xml:space="preserve"> práve. Vzhľadom na mieru vykonanej analýzy ako aj originalitu práce je možné konštatovať, že môže rozprúdiť úvahy a príslušné polemiky a význame a ochrane živého zvieraťa prostredníctvom súkromného práva. </w:t>
      </w:r>
    </w:p>
    <w:p w14:paraId="661B4B2A" w14:textId="77777777" w:rsidR="00932EBF" w:rsidRPr="00C81255" w:rsidRDefault="00932EBF" w:rsidP="00932EBF">
      <w:pPr>
        <w:spacing w:line="360" w:lineRule="auto"/>
        <w:jc w:val="both"/>
        <w:rPr>
          <w:sz w:val="24"/>
          <w:szCs w:val="24"/>
        </w:rPr>
      </w:pPr>
    </w:p>
    <w:p w14:paraId="401F6811" w14:textId="77777777" w:rsidR="00932EBF" w:rsidRPr="00C81255" w:rsidRDefault="00932EBF" w:rsidP="00932EBF">
      <w:pPr>
        <w:spacing w:line="360" w:lineRule="auto"/>
        <w:jc w:val="both"/>
        <w:rPr>
          <w:sz w:val="24"/>
          <w:szCs w:val="24"/>
        </w:rPr>
      </w:pPr>
    </w:p>
    <w:p w14:paraId="0FE83DE7" w14:textId="77777777" w:rsidR="00932EBF" w:rsidRPr="00C81255" w:rsidRDefault="00932EBF" w:rsidP="00932EBF">
      <w:pPr>
        <w:spacing w:line="360" w:lineRule="auto"/>
        <w:jc w:val="both"/>
        <w:rPr>
          <w:b/>
          <w:bCs/>
          <w:sz w:val="24"/>
          <w:szCs w:val="24"/>
        </w:rPr>
      </w:pPr>
      <w:r w:rsidRPr="00C81255">
        <w:rPr>
          <w:b/>
          <w:bCs/>
          <w:sz w:val="24"/>
          <w:szCs w:val="24"/>
        </w:rPr>
        <w:t xml:space="preserve">Záver : </w:t>
      </w:r>
    </w:p>
    <w:p w14:paraId="2717D631" w14:textId="79AD45D6" w:rsidR="00932EBF" w:rsidRPr="00C81255" w:rsidRDefault="0073076A" w:rsidP="00C81255">
      <w:pPr>
        <w:spacing w:line="360" w:lineRule="auto"/>
        <w:ind w:firstLine="708"/>
        <w:jc w:val="both"/>
        <w:rPr>
          <w:sz w:val="24"/>
          <w:szCs w:val="24"/>
        </w:rPr>
      </w:pPr>
      <w:r w:rsidRPr="00C81255">
        <w:rPr>
          <w:sz w:val="24"/>
          <w:szCs w:val="24"/>
        </w:rPr>
        <w:t>H</w:t>
      </w:r>
      <w:r w:rsidR="00932EBF" w:rsidRPr="00C81255">
        <w:rPr>
          <w:sz w:val="24"/>
          <w:szCs w:val="24"/>
        </w:rPr>
        <w:t xml:space="preserve">abilitačná práca JUDr. Mariána </w:t>
      </w:r>
      <w:proofErr w:type="spellStart"/>
      <w:r w:rsidR="00932EBF" w:rsidRPr="00C81255">
        <w:rPr>
          <w:sz w:val="24"/>
          <w:szCs w:val="24"/>
        </w:rPr>
        <w:t>Ďuranu</w:t>
      </w:r>
      <w:proofErr w:type="spellEnd"/>
      <w:r w:rsidR="00932EBF" w:rsidRPr="00C81255">
        <w:rPr>
          <w:sz w:val="24"/>
          <w:szCs w:val="24"/>
        </w:rPr>
        <w:t>, PhD.  svojou aktuálnosťou, úrovňou spracovania spĺňa všetky kritéria, stanovené Univerzitou Mateja Bela a  všeobecne záväznými právnymi predpismi pre tento druh kvalifikačných prác</w:t>
      </w:r>
      <w:r w:rsidR="00C81255" w:rsidRPr="00C81255">
        <w:rPr>
          <w:sz w:val="24"/>
          <w:szCs w:val="24"/>
        </w:rPr>
        <w:t xml:space="preserve"> preto </w:t>
      </w:r>
      <w:r w:rsidR="00932EBF" w:rsidRPr="00C81255">
        <w:rPr>
          <w:sz w:val="24"/>
          <w:szCs w:val="24"/>
        </w:rPr>
        <w:t xml:space="preserve">navrhujem, aby po úspešnej obhajobe  habilitačnej práce a  po vykonaní habilitačnej prednášky sa JUDr. Mariánovi </w:t>
      </w:r>
      <w:proofErr w:type="spellStart"/>
      <w:r w:rsidR="00932EBF" w:rsidRPr="00C81255">
        <w:rPr>
          <w:sz w:val="24"/>
          <w:szCs w:val="24"/>
        </w:rPr>
        <w:t>Ďuranovi</w:t>
      </w:r>
      <w:proofErr w:type="spellEnd"/>
      <w:r w:rsidR="00932EBF" w:rsidRPr="00C81255">
        <w:rPr>
          <w:sz w:val="24"/>
          <w:szCs w:val="24"/>
        </w:rPr>
        <w:t xml:space="preserve">, PhD. </w:t>
      </w:r>
      <w:r w:rsidR="00932EBF" w:rsidRPr="00C81255">
        <w:rPr>
          <w:b/>
          <w:bCs/>
          <w:sz w:val="24"/>
          <w:szCs w:val="24"/>
        </w:rPr>
        <w:t>udelil</w:t>
      </w:r>
      <w:r w:rsidR="00932EBF" w:rsidRPr="00C81255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r w:rsidR="00932EBF" w:rsidRPr="00C81255">
        <w:rPr>
          <w:rFonts w:eastAsia="Times New Roman"/>
          <w:b/>
          <w:bCs/>
          <w:color w:val="000000"/>
          <w:sz w:val="24"/>
          <w:szCs w:val="24"/>
          <w:lang w:eastAsia="sk-SK"/>
        </w:rPr>
        <w:t>vedecko pedagogický titul docent</w:t>
      </w:r>
      <w:r w:rsidR="00932EBF" w:rsidRPr="00C81255">
        <w:rPr>
          <w:rFonts w:eastAsia="Times New Roman"/>
          <w:color w:val="000000"/>
          <w:sz w:val="24"/>
          <w:szCs w:val="24"/>
          <w:lang w:eastAsia="sk-SK"/>
        </w:rPr>
        <w:t xml:space="preserve"> v odbore habilitačného a inauguračného konania </w:t>
      </w:r>
      <w:r w:rsidR="00932EBF" w:rsidRPr="00C81255">
        <w:rPr>
          <w:rFonts w:eastAsia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932EBF" w:rsidRPr="00C81255">
        <w:rPr>
          <w:rFonts w:eastAsia="Times New Roman"/>
          <w:color w:val="000000"/>
          <w:sz w:val="24"/>
          <w:szCs w:val="24"/>
          <w:lang w:eastAsia="sk-SK"/>
        </w:rPr>
        <w:t>Občianske právo, a </w:t>
      </w:r>
      <w:r w:rsidR="00932EBF" w:rsidRPr="00C81255">
        <w:rPr>
          <w:rFonts w:eastAsia="Times New Roman"/>
          <w:b/>
          <w:bCs/>
          <w:color w:val="000000"/>
          <w:sz w:val="24"/>
          <w:szCs w:val="24"/>
          <w:lang w:eastAsia="sk-SK"/>
        </w:rPr>
        <w:t>aby vedecká rada</w:t>
      </w:r>
      <w:r w:rsidR="00932EBF" w:rsidRPr="00C81255">
        <w:rPr>
          <w:rFonts w:eastAsia="Times New Roman"/>
          <w:color w:val="000000"/>
          <w:sz w:val="24"/>
          <w:szCs w:val="24"/>
          <w:lang w:eastAsia="sk-SK"/>
        </w:rPr>
        <w:t xml:space="preserve"> Univerzity Mateja Bela v Banskej Bystrici,  Právnickej fakulty s takýmto návrhom </w:t>
      </w:r>
      <w:r w:rsidR="00932EBF" w:rsidRPr="00C81255">
        <w:rPr>
          <w:rFonts w:eastAsia="Times New Roman"/>
          <w:b/>
          <w:bCs/>
          <w:color w:val="000000"/>
          <w:sz w:val="24"/>
          <w:szCs w:val="24"/>
          <w:lang w:eastAsia="sk-SK"/>
        </w:rPr>
        <w:t>vyjadrila</w:t>
      </w:r>
      <w:r w:rsidR="00932EBF" w:rsidRPr="00C81255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r w:rsidR="00932EBF" w:rsidRPr="00C81255">
        <w:rPr>
          <w:rFonts w:eastAsia="Times New Roman"/>
          <w:b/>
          <w:bCs/>
          <w:color w:val="000000"/>
          <w:sz w:val="24"/>
          <w:szCs w:val="24"/>
          <w:lang w:eastAsia="sk-SK"/>
        </w:rPr>
        <w:t>súhlas.</w:t>
      </w:r>
    </w:p>
    <w:p w14:paraId="5880E6DF" w14:textId="77777777" w:rsidR="00932EBF" w:rsidRPr="00C81255" w:rsidRDefault="00932EBF" w:rsidP="00932EBF">
      <w:pPr>
        <w:rPr>
          <w:rFonts w:eastAsia="Times New Roman"/>
          <w:color w:val="000000"/>
          <w:sz w:val="24"/>
          <w:szCs w:val="24"/>
          <w:lang w:eastAsia="sk-SK"/>
        </w:rPr>
      </w:pPr>
    </w:p>
    <w:p w14:paraId="6425E761" w14:textId="35C231F8" w:rsidR="00932EBF" w:rsidRPr="00C81255" w:rsidRDefault="0073076A" w:rsidP="0073076A">
      <w:pPr>
        <w:numPr>
          <w:ilvl w:val="0"/>
          <w:numId w:val="1"/>
        </w:numPr>
        <w:jc w:val="both"/>
        <w:rPr>
          <w:rFonts w:eastAsia="Times New Roman"/>
          <w:b/>
          <w:bCs/>
          <w:color w:val="000000"/>
          <w:sz w:val="24"/>
          <w:szCs w:val="24"/>
          <w:lang w:eastAsia="sk-SK"/>
        </w:rPr>
      </w:pPr>
      <w:r w:rsidRPr="00C81255">
        <w:rPr>
          <w:rFonts w:eastAsia="Times New Roman"/>
          <w:b/>
          <w:bCs/>
          <w:color w:val="000000"/>
          <w:sz w:val="24"/>
          <w:szCs w:val="24"/>
          <w:lang w:eastAsia="sk-SK"/>
        </w:rPr>
        <w:t>Otázky k obhajobe</w:t>
      </w:r>
      <w:r w:rsidR="00932EBF" w:rsidRPr="00C81255">
        <w:rPr>
          <w:rFonts w:eastAsia="Times New Roman"/>
          <w:b/>
          <w:bCs/>
          <w:color w:val="000000"/>
          <w:sz w:val="24"/>
          <w:szCs w:val="24"/>
          <w:lang w:eastAsia="sk-SK"/>
        </w:rPr>
        <w:t>:</w:t>
      </w:r>
    </w:p>
    <w:p w14:paraId="1D2A636F" w14:textId="77777777" w:rsidR="00932EBF" w:rsidRPr="00C81255" w:rsidRDefault="00932EBF" w:rsidP="00932EBF">
      <w:pPr>
        <w:rPr>
          <w:rFonts w:eastAsia="Times New Roman"/>
          <w:color w:val="000000"/>
          <w:sz w:val="24"/>
          <w:szCs w:val="24"/>
          <w:lang w:eastAsia="sk-SK"/>
        </w:rPr>
      </w:pPr>
    </w:p>
    <w:p w14:paraId="7E356213" w14:textId="6FB8BF3F" w:rsidR="00932EBF" w:rsidRPr="00C81255" w:rsidRDefault="0073076A" w:rsidP="00932EBF">
      <w:pPr>
        <w:pStyle w:val="Odsekzoznamu"/>
        <w:numPr>
          <w:ilvl w:val="0"/>
          <w:numId w:val="4"/>
        </w:numPr>
        <w:spacing w:line="360" w:lineRule="auto"/>
        <w:jc w:val="both"/>
        <w:rPr>
          <w:rFonts w:eastAsia="Times New Roman"/>
          <w:color w:val="000000"/>
          <w:sz w:val="24"/>
          <w:szCs w:val="24"/>
          <w:lang w:eastAsia="sk-SK"/>
        </w:rPr>
      </w:pPr>
      <w:r w:rsidRPr="00C81255">
        <w:rPr>
          <w:rFonts w:eastAsia="Times New Roman"/>
          <w:color w:val="000000"/>
          <w:sz w:val="24"/>
          <w:szCs w:val="24"/>
          <w:lang w:eastAsia="sk-SK"/>
        </w:rPr>
        <w:t xml:space="preserve">V rámci ústnej obhajoby by sa autor mohol vyjadriť </w:t>
      </w:r>
      <w:r w:rsidR="00C81255" w:rsidRPr="00C81255">
        <w:rPr>
          <w:rFonts w:eastAsia="Times New Roman"/>
          <w:color w:val="000000"/>
          <w:sz w:val="24"/>
          <w:szCs w:val="24"/>
          <w:lang w:eastAsia="sk-SK"/>
        </w:rPr>
        <w:t xml:space="preserve">k otázke možnej okupácie živého zvieraťa, ktorého majiteľ je zistiteľný napr. v dôsledku jeho označenia trvalými znakmi alebo čipom. </w:t>
      </w:r>
      <w:r w:rsidR="00932EBF" w:rsidRPr="00C81255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</w:p>
    <w:p w14:paraId="3FE75E48" w14:textId="77777777" w:rsidR="001C23D1" w:rsidRPr="00C81255" w:rsidRDefault="001C23D1" w:rsidP="007D6E65">
      <w:pPr>
        <w:jc w:val="both"/>
        <w:rPr>
          <w:color w:val="000000" w:themeColor="text1"/>
          <w:sz w:val="22"/>
          <w:szCs w:val="22"/>
        </w:rPr>
      </w:pPr>
    </w:p>
    <w:p w14:paraId="23B9C563" w14:textId="5C22BAF1" w:rsidR="00FE2A9C" w:rsidRPr="00C81255" w:rsidRDefault="00FE2A9C" w:rsidP="00117E0B">
      <w:pPr>
        <w:jc w:val="both"/>
        <w:rPr>
          <w:color w:val="000000" w:themeColor="text1"/>
          <w:sz w:val="22"/>
          <w:szCs w:val="22"/>
        </w:rPr>
      </w:pPr>
    </w:p>
    <w:p w14:paraId="3B6AA44A" w14:textId="77777777" w:rsidR="00117E0B" w:rsidRPr="00C81255" w:rsidRDefault="00117E0B" w:rsidP="00117E0B">
      <w:pPr>
        <w:jc w:val="both"/>
        <w:rPr>
          <w:color w:val="000000" w:themeColor="text1"/>
          <w:sz w:val="22"/>
          <w:szCs w:val="22"/>
        </w:rPr>
      </w:pPr>
    </w:p>
    <w:p w14:paraId="28D61D37" w14:textId="7D1CFD28" w:rsidR="00FE2A9C" w:rsidRPr="00C81255" w:rsidRDefault="00FE2A9C" w:rsidP="00C81255">
      <w:pPr>
        <w:spacing w:line="360" w:lineRule="auto"/>
        <w:ind w:firstLine="708"/>
        <w:jc w:val="both"/>
        <w:rPr>
          <w:sz w:val="24"/>
          <w:szCs w:val="24"/>
        </w:rPr>
      </w:pPr>
      <w:r w:rsidRPr="00C81255">
        <w:rPr>
          <w:sz w:val="24"/>
          <w:szCs w:val="24"/>
        </w:rPr>
        <w:t xml:space="preserve">V Banskej Bystrici </w:t>
      </w:r>
      <w:r w:rsidR="00A3221B">
        <w:rPr>
          <w:sz w:val="24"/>
          <w:szCs w:val="24"/>
        </w:rPr>
        <w:t xml:space="preserve">zo </w:t>
      </w:r>
      <w:r w:rsidRPr="00C81255">
        <w:rPr>
          <w:sz w:val="24"/>
          <w:szCs w:val="24"/>
        </w:rPr>
        <w:t xml:space="preserve">dňa </w:t>
      </w:r>
      <w:r w:rsidR="00A3221B">
        <w:rPr>
          <w:sz w:val="24"/>
          <w:szCs w:val="24"/>
        </w:rPr>
        <w:t>28.11.2021</w:t>
      </w:r>
    </w:p>
    <w:p w14:paraId="3E43BF23" w14:textId="48088359" w:rsidR="00117E0B" w:rsidRPr="00C81255" w:rsidRDefault="00117E0B" w:rsidP="00FE2A9C">
      <w:pPr>
        <w:rPr>
          <w:color w:val="000000" w:themeColor="text1"/>
          <w:sz w:val="22"/>
          <w:szCs w:val="22"/>
        </w:rPr>
      </w:pPr>
    </w:p>
    <w:p w14:paraId="09A3BAD0" w14:textId="3A01CDBC" w:rsidR="00117E0B" w:rsidRPr="00C81255" w:rsidRDefault="00117E0B" w:rsidP="00FE2A9C">
      <w:pPr>
        <w:rPr>
          <w:color w:val="000000" w:themeColor="text1"/>
          <w:sz w:val="22"/>
          <w:szCs w:val="22"/>
        </w:rPr>
      </w:pPr>
    </w:p>
    <w:p w14:paraId="392B8DF0" w14:textId="77777777" w:rsidR="00FE2A9C" w:rsidRPr="00C81255" w:rsidRDefault="00FE2A9C" w:rsidP="00FE2A9C">
      <w:pPr>
        <w:rPr>
          <w:color w:val="000000" w:themeColor="text1"/>
          <w:sz w:val="22"/>
          <w:szCs w:val="22"/>
        </w:rPr>
      </w:pPr>
    </w:p>
    <w:p w14:paraId="56F10A8D" w14:textId="5A2676B6" w:rsidR="00FE2A9C" w:rsidRPr="00C81255" w:rsidRDefault="00FE2A9C" w:rsidP="00FE2A9C">
      <w:pPr>
        <w:rPr>
          <w:color w:val="000000" w:themeColor="text1"/>
          <w:sz w:val="22"/>
          <w:szCs w:val="22"/>
        </w:rPr>
      </w:pPr>
      <w:r w:rsidRPr="00C81255">
        <w:rPr>
          <w:color w:val="000000" w:themeColor="text1"/>
          <w:sz w:val="22"/>
          <w:szCs w:val="22"/>
        </w:rPr>
        <w:tab/>
      </w:r>
      <w:r w:rsidRPr="00C81255">
        <w:rPr>
          <w:color w:val="000000" w:themeColor="text1"/>
          <w:sz w:val="22"/>
          <w:szCs w:val="22"/>
        </w:rPr>
        <w:tab/>
      </w:r>
      <w:r w:rsidRPr="00C81255">
        <w:rPr>
          <w:color w:val="000000" w:themeColor="text1"/>
          <w:sz w:val="22"/>
          <w:szCs w:val="22"/>
        </w:rPr>
        <w:tab/>
      </w:r>
      <w:r w:rsidRPr="00C81255">
        <w:rPr>
          <w:color w:val="000000" w:themeColor="text1"/>
          <w:sz w:val="22"/>
          <w:szCs w:val="22"/>
        </w:rPr>
        <w:tab/>
      </w:r>
      <w:r w:rsidRPr="00C81255">
        <w:rPr>
          <w:color w:val="000000" w:themeColor="text1"/>
          <w:sz w:val="22"/>
          <w:szCs w:val="22"/>
        </w:rPr>
        <w:tab/>
      </w:r>
      <w:r w:rsidRPr="00C81255">
        <w:rPr>
          <w:color w:val="000000" w:themeColor="text1"/>
          <w:sz w:val="22"/>
          <w:szCs w:val="22"/>
        </w:rPr>
        <w:tab/>
      </w:r>
      <w:r w:rsidR="00C81255" w:rsidRPr="00C81255">
        <w:rPr>
          <w:color w:val="000000" w:themeColor="text1"/>
          <w:sz w:val="22"/>
          <w:szCs w:val="22"/>
        </w:rPr>
        <w:t xml:space="preserve">Doc. </w:t>
      </w:r>
      <w:r w:rsidRPr="00C81255">
        <w:rPr>
          <w:color w:val="000000" w:themeColor="text1"/>
          <w:sz w:val="22"/>
          <w:szCs w:val="22"/>
        </w:rPr>
        <w:t xml:space="preserve">JUDr. </w:t>
      </w:r>
      <w:r w:rsidR="00C81255" w:rsidRPr="00C81255">
        <w:rPr>
          <w:color w:val="000000" w:themeColor="text1"/>
          <w:sz w:val="22"/>
          <w:szCs w:val="22"/>
        </w:rPr>
        <w:t xml:space="preserve">Daniela </w:t>
      </w:r>
      <w:proofErr w:type="spellStart"/>
      <w:r w:rsidR="00C81255" w:rsidRPr="00C81255">
        <w:rPr>
          <w:color w:val="000000" w:themeColor="text1"/>
          <w:sz w:val="22"/>
          <w:szCs w:val="22"/>
        </w:rPr>
        <w:t>Gandžalová</w:t>
      </w:r>
      <w:proofErr w:type="spellEnd"/>
      <w:r w:rsidR="00C81255" w:rsidRPr="00C81255">
        <w:rPr>
          <w:color w:val="000000" w:themeColor="text1"/>
          <w:sz w:val="22"/>
          <w:szCs w:val="22"/>
        </w:rPr>
        <w:t xml:space="preserve">, PhD. </w:t>
      </w:r>
    </w:p>
    <w:p w14:paraId="782E9F4E" w14:textId="77777777" w:rsidR="00FE2A9C" w:rsidRPr="00C81255" w:rsidRDefault="00FE2A9C" w:rsidP="00FE2A9C">
      <w:pPr>
        <w:rPr>
          <w:color w:val="000000" w:themeColor="text1"/>
          <w:sz w:val="22"/>
          <w:szCs w:val="22"/>
        </w:rPr>
      </w:pPr>
    </w:p>
    <w:p w14:paraId="2FA27C9B" w14:textId="77777777" w:rsidR="00FE2A9C" w:rsidRPr="00C81255" w:rsidRDefault="00FE2A9C" w:rsidP="00FE2A9C">
      <w:pPr>
        <w:rPr>
          <w:color w:val="000000" w:themeColor="text1"/>
          <w:sz w:val="22"/>
          <w:szCs w:val="22"/>
        </w:rPr>
      </w:pPr>
      <w:r w:rsidRPr="00C81255">
        <w:rPr>
          <w:color w:val="000000" w:themeColor="text1"/>
          <w:sz w:val="22"/>
          <w:szCs w:val="22"/>
        </w:rPr>
        <w:lastRenderedPageBreak/>
        <w:t xml:space="preserve">                        </w:t>
      </w:r>
    </w:p>
    <w:p w14:paraId="07931729" w14:textId="77777777" w:rsidR="00FE2A9C" w:rsidRPr="00C81255" w:rsidRDefault="00FE2A9C" w:rsidP="00FE2A9C">
      <w:pPr>
        <w:jc w:val="right"/>
        <w:rPr>
          <w:b/>
          <w:bCs/>
          <w:color w:val="000000" w:themeColor="text1"/>
          <w:sz w:val="22"/>
          <w:szCs w:val="22"/>
        </w:rPr>
      </w:pPr>
    </w:p>
    <w:p w14:paraId="30EC32FF" w14:textId="77777777" w:rsidR="00FE2A9C" w:rsidRPr="00C81255" w:rsidRDefault="00FE2A9C" w:rsidP="00FE2A9C">
      <w:pPr>
        <w:rPr>
          <w:color w:val="000000" w:themeColor="text1"/>
          <w:sz w:val="22"/>
          <w:szCs w:val="22"/>
        </w:rPr>
      </w:pPr>
    </w:p>
    <w:sectPr w:rsidR="00FE2A9C" w:rsidRPr="00C8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1DA4" w14:textId="77777777" w:rsidR="004253CC" w:rsidRDefault="004253CC" w:rsidP="002A3DA2">
      <w:r>
        <w:separator/>
      </w:r>
    </w:p>
  </w:endnote>
  <w:endnote w:type="continuationSeparator" w:id="0">
    <w:p w14:paraId="55429D55" w14:textId="77777777" w:rsidR="004253CC" w:rsidRDefault="004253CC" w:rsidP="002A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C77B" w14:textId="77777777" w:rsidR="004253CC" w:rsidRDefault="004253CC" w:rsidP="002A3DA2">
      <w:r>
        <w:separator/>
      </w:r>
    </w:p>
  </w:footnote>
  <w:footnote w:type="continuationSeparator" w:id="0">
    <w:p w14:paraId="7C9D845A" w14:textId="77777777" w:rsidR="004253CC" w:rsidRDefault="004253CC" w:rsidP="002A3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15C1"/>
    <w:multiLevelType w:val="hybridMultilevel"/>
    <w:tmpl w:val="6FC41816"/>
    <w:lvl w:ilvl="0" w:tplc="4B3829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3A5299"/>
    <w:multiLevelType w:val="hybridMultilevel"/>
    <w:tmpl w:val="F22AD15C"/>
    <w:lvl w:ilvl="0" w:tplc="ED5C6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65FB3"/>
    <w:multiLevelType w:val="hybridMultilevel"/>
    <w:tmpl w:val="53AAF3CC"/>
    <w:lvl w:ilvl="0" w:tplc="573602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7F70E3"/>
    <w:multiLevelType w:val="hybridMultilevel"/>
    <w:tmpl w:val="CD9C5F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B2"/>
    <w:rsid w:val="0000287F"/>
    <w:rsid w:val="00011A1E"/>
    <w:rsid w:val="000D4B47"/>
    <w:rsid w:val="0010248D"/>
    <w:rsid w:val="00117E0B"/>
    <w:rsid w:val="0018675D"/>
    <w:rsid w:val="001B3A90"/>
    <w:rsid w:val="001C23D1"/>
    <w:rsid w:val="001C30C0"/>
    <w:rsid w:val="001F01D2"/>
    <w:rsid w:val="001F2E51"/>
    <w:rsid w:val="002714C9"/>
    <w:rsid w:val="002A3DA2"/>
    <w:rsid w:val="002C4F29"/>
    <w:rsid w:val="0031655A"/>
    <w:rsid w:val="00322C69"/>
    <w:rsid w:val="00382499"/>
    <w:rsid w:val="003A22EA"/>
    <w:rsid w:val="003C266B"/>
    <w:rsid w:val="00422CB2"/>
    <w:rsid w:val="004253CC"/>
    <w:rsid w:val="004C4F4C"/>
    <w:rsid w:val="004F2061"/>
    <w:rsid w:val="004F365B"/>
    <w:rsid w:val="00527CAC"/>
    <w:rsid w:val="00551AA0"/>
    <w:rsid w:val="005A5CBA"/>
    <w:rsid w:val="005D476E"/>
    <w:rsid w:val="00620980"/>
    <w:rsid w:val="00636776"/>
    <w:rsid w:val="00646E46"/>
    <w:rsid w:val="00680EBC"/>
    <w:rsid w:val="006A1CD6"/>
    <w:rsid w:val="0073076A"/>
    <w:rsid w:val="00757714"/>
    <w:rsid w:val="007D6E65"/>
    <w:rsid w:val="008413EA"/>
    <w:rsid w:val="00847424"/>
    <w:rsid w:val="00885024"/>
    <w:rsid w:val="0089034B"/>
    <w:rsid w:val="008C3111"/>
    <w:rsid w:val="008E5688"/>
    <w:rsid w:val="00915288"/>
    <w:rsid w:val="00932EBF"/>
    <w:rsid w:val="00943441"/>
    <w:rsid w:val="009840AA"/>
    <w:rsid w:val="009B62D6"/>
    <w:rsid w:val="009C10D2"/>
    <w:rsid w:val="009E126A"/>
    <w:rsid w:val="00A17FC7"/>
    <w:rsid w:val="00A3221B"/>
    <w:rsid w:val="00A36BF3"/>
    <w:rsid w:val="00A47C94"/>
    <w:rsid w:val="00A670C4"/>
    <w:rsid w:val="00AB515D"/>
    <w:rsid w:val="00AD1405"/>
    <w:rsid w:val="00AE4570"/>
    <w:rsid w:val="00B25569"/>
    <w:rsid w:val="00B343C0"/>
    <w:rsid w:val="00B61BF9"/>
    <w:rsid w:val="00B62B70"/>
    <w:rsid w:val="00BB416E"/>
    <w:rsid w:val="00C25D90"/>
    <w:rsid w:val="00C545A1"/>
    <w:rsid w:val="00C81255"/>
    <w:rsid w:val="00C94A94"/>
    <w:rsid w:val="00CA78BC"/>
    <w:rsid w:val="00D52836"/>
    <w:rsid w:val="00D53615"/>
    <w:rsid w:val="00D85AE8"/>
    <w:rsid w:val="00DA5908"/>
    <w:rsid w:val="00DE6566"/>
    <w:rsid w:val="00DF19D3"/>
    <w:rsid w:val="00E03AC5"/>
    <w:rsid w:val="00E12B5A"/>
    <w:rsid w:val="00EA2BD9"/>
    <w:rsid w:val="00EE20A7"/>
    <w:rsid w:val="00F20B26"/>
    <w:rsid w:val="00F25E46"/>
    <w:rsid w:val="00F26B6F"/>
    <w:rsid w:val="00F54AAB"/>
    <w:rsid w:val="00F54C56"/>
    <w:rsid w:val="00F63D8F"/>
    <w:rsid w:val="00F704EA"/>
    <w:rsid w:val="00F74A1A"/>
    <w:rsid w:val="00F9083B"/>
    <w:rsid w:val="00FB7B0F"/>
    <w:rsid w:val="00FE0D6D"/>
    <w:rsid w:val="00F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E8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422C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2C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2CB2"/>
    <w:rPr>
      <w:rFonts w:ascii="Times New Roman" w:eastAsia="Calibri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42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22C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CB2"/>
    <w:rPr>
      <w:rFonts w:ascii="Tahoma" w:eastAsia="Calibri" w:hAnsi="Tahoma" w:cs="Tahoma"/>
      <w:sz w:val="16"/>
      <w:szCs w:val="16"/>
      <w:lang w:eastAsia="cs-CZ"/>
    </w:rPr>
  </w:style>
  <w:style w:type="paragraph" w:styleId="Nzov">
    <w:name w:val="Title"/>
    <w:basedOn w:val="Normlny"/>
    <w:link w:val="NzovChar"/>
    <w:qFormat/>
    <w:rsid w:val="00FE2A9C"/>
    <w:pPr>
      <w:jc w:val="center"/>
    </w:pPr>
    <w:rPr>
      <w:rFonts w:eastAsia="Times New Roman"/>
      <w:b/>
      <w:sz w:val="28"/>
    </w:rPr>
  </w:style>
  <w:style w:type="character" w:customStyle="1" w:styleId="NzovChar">
    <w:name w:val="Názov Char"/>
    <w:basedOn w:val="Predvolenpsmoodseku"/>
    <w:link w:val="Nzov"/>
    <w:rsid w:val="00FE2A9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271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Vrastiakova Iveta</dc:creator>
  <cp:lastModifiedBy>Lihanova Michaela, Mgr.</cp:lastModifiedBy>
  <cp:revision>2</cp:revision>
  <cp:lastPrinted>2022-01-17T07:41:00Z</cp:lastPrinted>
  <dcterms:created xsi:type="dcterms:W3CDTF">2022-01-17T07:54:00Z</dcterms:created>
  <dcterms:modified xsi:type="dcterms:W3CDTF">2022-01-17T07:54:00Z</dcterms:modified>
</cp:coreProperties>
</file>